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D0B52">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14:paraId="47F55953">
      <w:pPr>
        <w:spacing w:line="540" w:lineRule="exact"/>
        <w:jc w:val="center"/>
        <w:rPr>
          <w:rFonts w:ascii="华文中宋" w:hAnsi="华文中宋" w:eastAsia="华文中宋" w:cs="宋体"/>
          <w:b/>
          <w:kern w:val="0"/>
          <w:sz w:val="52"/>
          <w:szCs w:val="52"/>
        </w:rPr>
      </w:pPr>
    </w:p>
    <w:p w14:paraId="5E6A4033">
      <w:pPr>
        <w:spacing w:line="540" w:lineRule="exact"/>
        <w:jc w:val="center"/>
        <w:rPr>
          <w:rFonts w:ascii="华文中宋" w:hAnsi="华文中宋" w:eastAsia="华文中宋" w:cs="宋体"/>
          <w:b/>
          <w:kern w:val="0"/>
          <w:sz w:val="52"/>
          <w:szCs w:val="52"/>
        </w:rPr>
      </w:pPr>
    </w:p>
    <w:p w14:paraId="20619E00">
      <w:pPr>
        <w:spacing w:line="540" w:lineRule="exact"/>
        <w:jc w:val="center"/>
        <w:rPr>
          <w:rFonts w:ascii="华文中宋" w:hAnsi="华文中宋" w:eastAsia="华文中宋" w:cs="宋体"/>
          <w:b/>
          <w:kern w:val="0"/>
          <w:sz w:val="52"/>
          <w:szCs w:val="52"/>
        </w:rPr>
      </w:pPr>
    </w:p>
    <w:p w14:paraId="10F34452">
      <w:pPr>
        <w:spacing w:line="540" w:lineRule="exact"/>
        <w:rPr>
          <w:rFonts w:ascii="华文中宋" w:hAnsi="华文中宋" w:eastAsia="华文中宋" w:cs="宋体"/>
          <w:b/>
          <w:kern w:val="0"/>
          <w:sz w:val="52"/>
          <w:szCs w:val="52"/>
        </w:rPr>
      </w:pPr>
    </w:p>
    <w:p w14:paraId="370F0016">
      <w:pPr>
        <w:spacing w:line="540" w:lineRule="exact"/>
        <w:rPr>
          <w:rFonts w:ascii="华文中宋" w:hAnsi="华文中宋" w:eastAsia="华文中宋" w:cs="宋体"/>
          <w:b/>
          <w:kern w:val="0"/>
          <w:sz w:val="52"/>
          <w:szCs w:val="52"/>
        </w:rPr>
      </w:pPr>
    </w:p>
    <w:p w14:paraId="382DBAB7">
      <w:pPr>
        <w:spacing w:line="540" w:lineRule="exact"/>
        <w:jc w:val="center"/>
        <w:rPr>
          <w:rFonts w:ascii="华文中宋" w:hAnsi="华文中宋" w:eastAsia="华文中宋" w:cs="宋体"/>
          <w:b/>
          <w:kern w:val="0"/>
          <w:sz w:val="52"/>
          <w:szCs w:val="52"/>
        </w:rPr>
      </w:pPr>
    </w:p>
    <w:p w14:paraId="7C45073D">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lang w:eastAsia="zh-CN"/>
        </w:rPr>
        <w:t>特克斯县总工会</w:t>
      </w:r>
      <w:r>
        <w:rPr>
          <w:rFonts w:hint="eastAsia" w:ascii="方正小标宋_GBK" w:hAnsi="华文中宋" w:eastAsia="方正小标宋_GBK" w:cs="宋体"/>
          <w:b/>
          <w:kern w:val="0"/>
          <w:sz w:val="48"/>
          <w:szCs w:val="48"/>
        </w:rPr>
        <w:t>部门单位整体支出绩效自评报告</w:t>
      </w:r>
    </w:p>
    <w:bookmarkEnd w:id="0"/>
    <w:p w14:paraId="4D3EB4EE">
      <w:pPr>
        <w:spacing w:line="540" w:lineRule="exact"/>
        <w:jc w:val="center"/>
        <w:rPr>
          <w:rFonts w:ascii="华文中宋" w:hAnsi="华文中宋" w:eastAsia="华文中宋" w:cs="宋体"/>
          <w:b/>
          <w:kern w:val="0"/>
          <w:sz w:val="52"/>
          <w:szCs w:val="52"/>
        </w:rPr>
      </w:pPr>
    </w:p>
    <w:p w14:paraId="19954FF2">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14:paraId="26B4DC5F">
      <w:pPr>
        <w:spacing w:line="540" w:lineRule="exact"/>
        <w:jc w:val="center"/>
        <w:rPr>
          <w:rFonts w:hAnsi="宋体" w:eastAsia="仿宋_GB2312" w:cs="宋体"/>
          <w:kern w:val="0"/>
          <w:sz w:val="30"/>
          <w:szCs w:val="30"/>
        </w:rPr>
      </w:pPr>
    </w:p>
    <w:p w14:paraId="0730D8A0">
      <w:pPr>
        <w:spacing w:line="540" w:lineRule="exact"/>
        <w:jc w:val="center"/>
        <w:rPr>
          <w:rFonts w:hAnsi="宋体" w:eastAsia="仿宋_GB2312" w:cs="宋体"/>
          <w:kern w:val="0"/>
          <w:sz w:val="30"/>
          <w:szCs w:val="30"/>
        </w:rPr>
      </w:pPr>
    </w:p>
    <w:p w14:paraId="094811C7">
      <w:pPr>
        <w:spacing w:line="540" w:lineRule="exact"/>
        <w:jc w:val="center"/>
        <w:rPr>
          <w:rFonts w:hAnsi="宋体" w:eastAsia="仿宋_GB2312" w:cs="宋体"/>
          <w:kern w:val="0"/>
          <w:sz w:val="30"/>
          <w:szCs w:val="30"/>
        </w:rPr>
      </w:pPr>
    </w:p>
    <w:p w14:paraId="19ED6B63">
      <w:pPr>
        <w:spacing w:line="540" w:lineRule="exact"/>
        <w:jc w:val="center"/>
        <w:rPr>
          <w:rFonts w:hAnsi="宋体" w:eastAsia="仿宋_GB2312" w:cs="宋体"/>
          <w:kern w:val="0"/>
          <w:sz w:val="30"/>
          <w:szCs w:val="30"/>
        </w:rPr>
      </w:pPr>
    </w:p>
    <w:p w14:paraId="3386A062">
      <w:pPr>
        <w:spacing w:line="540" w:lineRule="exact"/>
        <w:jc w:val="center"/>
        <w:rPr>
          <w:rFonts w:hAnsi="宋体" w:eastAsia="仿宋_GB2312" w:cs="宋体"/>
          <w:kern w:val="0"/>
          <w:sz w:val="30"/>
          <w:szCs w:val="30"/>
        </w:rPr>
      </w:pPr>
    </w:p>
    <w:p w14:paraId="1FAC3B27">
      <w:pPr>
        <w:spacing w:line="540" w:lineRule="exact"/>
        <w:rPr>
          <w:rFonts w:hAnsi="宋体" w:eastAsia="仿宋_GB2312" w:cs="宋体"/>
          <w:kern w:val="0"/>
          <w:sz w:val="30"/>
          <w:szCs w:val="30"/>
        </w:rPr>
      </w:pPr>
    </w:p>
    <w:p w14:paraId="316E985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479DD65">
      <w:pPr>
        <w:spacing w:line="700" w:lineRule="exact"/>
        <w:ind w:firstLine="849" w:firstLineChars="236"/>
        <w:jc w:val="left"/>
        <w:rPr>
          <w:rFonts w:hint="default" w:hAnsi="宋体" w:eastAsia="仿宋_GB2312" w:cs="宋体"/>
          <w:kern w:val="0"/>
          <w:sz w:val="36"/>
          <w:szCs w:val="36"/>
          <w:highlight w:val="none"/>
          <w:lang w:val="en-US" w:eastAsia="zh-CN"/>
        </w:rPr>
      </w:pPr>
      <w:r>
        <w:rPr>
          <w:rFonts w:hint="eastAsia" w:hAnsi="宋体" w:eastAsia="仿宋_GB2312" w:cs="宋体"/>
          <w:kern w:val="0"/>
          <w:sz w:val="36"/>
          <w:szCs w:val="36"/>
          <w:highlight w:val="none"/>
        </w:rPr>
        <w:t>部门单位名称（公章）：</w:t>
      </w:r>
      <w:r>
        <w:rPr>
          <w:rFonts w:hint="eastAsia" w:hAnsi="宋体" w:eastAsia="仿宋_GB2312" w:cs="宋体"/>
          <w:kern w:val="0"/>
          <w:sz w:val="36"/>
          <w:szCs w:val="36"/>
          <w:highlight w:val="none"/>
          <w:lang w:eastAsia="zh-CN"/>
        </w:rPr>
        <w:t>特克斯县总工</w:t>
      </w:r>
      <w:r>
        <w:rPr>
          <w:rFonts w:hint="eastAsia" w:hAnsi="宋体" w:eastAsia="仿宋_GB2312" w:cs="宋体"/>
          <w:kern w:val="0"/>
          <w:sz w:val="36"/>
          <w:szCs w:val="36"/>
          <w:highlight w:val="none"/>
          <w:lang w:val="en-US" w:eastAsia="zh-CN"/>
        </w:rPr>
        <w:t>会</w:t>
      </w:r>
    </w:p>
    <w:p w14:paraId="20838F4B">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 xml:space="preserve"> 28</w:t>
      </w:r>
      <w:r>
        <w:rPr>
          <w:rFonts w:hint="eastAsia" w:hAnsi="宋体" w:eastAsia="仿宋_GB2312" w:cs="宋体"/>
          <w:kern w:val="0"/>
          <w:sz w:val="36"/>
          <w:szCs w:val="36"/>
        </w:rPr>
        <w:t xml:space="preserve"> 日</w:t>
      </w:r>
    </w:p>
    <w:p w14:paraId="595ECFCF">
      <w:pPr>
        <w:spacing w:line="700" w:lineRule="exact"/>
        <w:ind w:firstLine="849" w:firstLineChars="236"/>
        <w:jc w:val="left"/>
        <w:rPr>
          <w:rFonts w:hint="eastAsia" w:hAnsi="宋体" w:eastAsia="仿宋_GB2312" w:cs="宋体"/>
          <w:kern w:val="0"/>
          <w:sz w:val="36"/>
          <w:szCs w:val="36"/>
        </w:rPr>
      </w:pPr>
    </w:p>
    <w:p w14:paraId="375817F6">
      <w:pPr>
        <w:spacing w:line="700" w:lineRule="exact"/>
        <w:ind w:firstLine="849" w:firstLineChars="236"/>
        <w:jc w:val="left"/>
        <w:rPr>
          <w:rFonts w:hint="eastAsia" w:hAnsi="宋体" w:eastAsia="仿宋_GB2312" w:cs="宋体"/>
          <w:kern w:val="0"/>
          <w:sz w:val="36"/>
          <w:szCs w:val="36"/>
        </w:rPr>
      </w:pPr>
    </w:p>
    <w:p w14:paraId="3AD54780">
      <w:pPr>
        <w:spacing w:line="700" w:lineRule="exact"/>
        <w:ind w:firstLine="849" w:firstLineChars="236"/>
        <w:jc w:val="left"/>
        <w:rPr>
          <w:rFonts w:hint="eastAsia" w:hAnsi="宋体" w:eastAsia="仿宋_GB2312" w:cs="宋体"/>
          <w:kern w:val="0"/>
          <w:sz w:val="36"/>
          <w:szCs w:val="36"/>
        </w:rPr>
      </w:pPr>
    </w:p>
    <w:p w14:paraId="5B266F1F">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14:paraId="5DD5A0F8">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14:paraId="6B854D57">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14:paraId="3020168D">
      <w:pPr>
        <w:spacing w:line="360" w:lineRule="auto"/>
        <w:ind w:firstLine="560" w:firstLineChars="200"/>
        <w:rPr>
          <w:rStyle w:val="16"/>
          <w:rFonts w:hint="eastAsia" w:ascii="仿宋" w:hAnsi="仿宋" w:eastAsia="仿宋" w:cs="仿宋"/>
          <w:b w:val="0"/>
          <w:bCs w:val="0"/>
          <w:color w:val="auto"/>
          <w:sz w:val="28"/>
          <w:szCs w:val="36"/>
        </w:rPr>
      </w:pPr>
      <w:r>
        <w:rPr>
          <w:rStyle w:val="16"/>
          <w:rFonts w:hint="eastAsia" w:ascii="仿宋" w:hAnsi="仿宋" w:eastAsia="仿宋" w:cs="仿宋"/>
          <w:b w:val="0"/>
          <w:bCs w:val="0"/>
          <w:color w:val="auto"/>
          <w:sz w:val="28"/>
          <w:szCs w:val="36"/>
        </w:rPr>
        <w:t>工会组织是中国共产党领导的职工自愿结合的工人阶级群 众组织,是党联系职工群众的桥梁和纽带,是国家政权的重要支 柱,是会员和职工合法权益的代表。</w:t>
      </w:r>
    </w:p>
    <w:p w14:paraId="7378BACD">
      <w:pPr>
        <w:spacing w:line="360" w:lineRule="auto"/>
        <w:ind w:firstLine="560" w:firstLineChars="200"/>
        <w:rPr>
          <w:rStyle w:val="16"/>
          <w:rFonts w:hint="eastAsia" w:ascii="仿宋" w:hAnsi="仿宋" w:eastAsia="仿宋" w:cs="仿宋"/>
          <w:b w:val="0"/>
          <w:bCs w:val="0"/>
          <w:color w:val="auto"/>
          <w:sz w:val="28"/>
          <w:szCs w:val="36"/>
        </w:rPr>
      </w:pPr>
      <w:r>
        <w:rPr>
          <w:rStyle w:val="16"/>
          <w:rFonts w:hint="eastAsia" w:ascii="仿宋" w:hAnsi="仿宋" w:eastAsia="仿宋" w:cs="仿宋"/>
          <w:b w:val="0"/>
          <w:bCs w:val="0"/>
          <w:color w:val="auto"/>
          <w:sz w:val="28"/>
          <w:szCs w:val="36"/>
        </w:rPr>
        <w:t>(一)贯彻执行工会工作的方针、政策,制定全县工会工作 的发展规划,并组织实施。</w:t>
      </w:r>
    </w:p>
    <w:p w14:paraId="06ACD38C">
      <w:pPr>
        <w:spacing w:line="360" w:lineRule="auto"/>
        <w:ind w:firstLine="560" w:firstLineChars="200"/>
        <w:rPr>
          <w:rStyle w:val="16"/>
          <w:rFonts w:hint="eastAsia" w:ascii="仿宋" w:hAnsi="仿宋" w:eastAsia="仿宋" w:cs="仿宋"/>
          <w:b w:val="0"/>
          <w:bCs w:val="0"/>
          <w:color w:val="auto"/>
          <w:sz w:val="28"/>
          <w:szCs w:val="36"/>
        </w:rPr>
      </w:pPr>
      <w:r>
        <w:rPr>
          <w:rStyle w:val="16"/>
          <w:rFonts w:hint="eastAsia" w:ascii="仿宋" w:hAnsi="仿宋" w:eastAsia="仿宋" w:cs="仿宋"/>
          <w:b w:val="0"/>
          <w:bCs w:val="0"/>
          <w:color w:val="auto"/>
          <w:sz w:val="28"/>
          <w:szCs w:val="36"/>
        </w:rPr>
        <w:t>(二)依照有关法律和《中国工会章程》,组织和指导全县 各级工会的工作,进一步突出和履行维护职能。维护职工的合法 权益,协助县人民政府做好劳模的推荐、评选和管理工作,负责 "五一"劳动奖章、奖状获得者、劳模和先进工作者的推荐、评选 和管理工作。</w:t>
      </w:r>
    </w:p>
    <w:p w14:paraId="42359DBE">
      <w:pPr>
        <w:spacing w:line="360" w:lineRule="auto"/>
        <w:ind w:firstLine="560" w:firstLineChars="200"/>
        <w:rPr>
          <w:rStyle w:val="16"/>
          <w:rFonts w:hint="eastAsia" w:ascii="仿宋" w:hAnsi="仿宋" w:eastAsia="仿宋" w:cs="仿宋"/>
          <w:b w:val="0"/>
          <w:bCs w:val="0"/>
          <w:color w:val="auto"/>
          <w:sz w:val="28"/>
          <w:szCs w:val="36"/>
        </w:rPr>
      </w:pPr>
      <w:r>
        <w:rPr>
          <w:rStyle w:val="16"/>
          <w:rFonts w:hint="eastAsia" w:ascii="仿宋" w:hAnsi="仿宋" w:eastAsia="仿宋" w:cs="仿宋"/>
          <w:b w:val="0"/>
          <w:bCs w:val="0"/>
          <w:color w:val="auto"/>
          <w:sz w:val="28"/>
          <w:szCs w:val="36"/>
        </w:rPr>
        <w:t>(三)进一步加强对涉及职工合法权益重大问题的调研,向 县委、政府反映职工群众的思想、愿望和要求,提出意见和建议; 参与涉及职工切身利益的政策、法规、制度的拟定工作;对侵犯 职工合法权益的重大事件进行调查并提出处理意见;参与职工重大伤亡事故的调查处理。</w:t>
      </w:r>
    </w:p>
    <w:p w14:paraId="0D940BF2">
      <w:pPr>
        <w:spacing w:line="360" w:lineRule="auto"/>
        <w:ind w:firstLine="560" w:firstLineChars="200"/>
        <w:rPr>
          <w:rStyle w:val="16"/>
          <w:rFonts w:hint="eastAsia" w:ascii="仿宋" w:hAnsi="仿宋" w:eastAsia="仿宋" w:cs="仿宋"/>
          <w:b w:val="0"/>
          <w:bCs w:val="0"/>
          <w:color w:val="auto"/>
          <w:sz w:val="28"/>
          <w:szCs w:val="36"/>
        </w:rPr>
      </w:pPr>
      <w:r>
        <w:rPr>
          <w:rStyle w:val="16"/>
          <w:rFonts w:hint="eastAsia" w:ascii="仿宋" w:hAnsi="仿宋" w:eastAsia="仿宋" w:cs="仿宋"/>
          <w:b w:val="0"/>
          <w:bCs w:val="0"/>
          <w:color w:val="auto"/>
          <w:sz w:val="28"/>
          <w:szCs w:val="36"/>
        </w:rPr>
        <w:t>(四)监督检查《中华人民共和国工会法》《中国工会章程》《中华人民共和国劳动合同法》《自治区非</w:t>
      </w:r>
      <w:bookmarkStart w:id="29" w:name="_GoBack"/>
      <w:bookmarkEnd w:id="29"/>
      <w:r>
        <w:rPr>
          <w:rStyle w:val="16"/>
          <w:rFonts w:hint="eastAsia" w:ascii="仿宋" w:hAnsi="仿宋" w:eastAsia="仿宋" w:cs="仿宋"/>
          <w:b w:val="0"/>
          <w:bCs w:val="0"/>
          <w:color w:val="auto"/>
          <w:sz w:val="28"/>
          <w:szCs w:val="36"/>
        </w:rPr>
        <w:t>公有制工会条例》的 贯彻执行情况,指导基层工会组织开展以职工代表大会为基本制 度的民主选举、民主决策、民主管理和民主监督工作。</w:t>
      </w:r>
    </w:p>
    <w:p w14:paraId="48536134">
      <w:pPr>
        <w:spacing w:line="360" w:lineRule="auto"/>
        <w:ind w:firstLine="560" w:firstLineChars="200"/>
        <w:rPr>
          <w:rStyle w:val="16"/>
          <w:rFonts w:hint="eastAsia" w:ascii="仿宋" w:hAnsi="仿宋" w:eastAsia="仿宋" w:cs="仿宋"/>
          <w:b w:val="0"/>
          <w:bCs w:val="0"/>
          <w:color w:val="auto"/>
          <w:sz w:val="28"/>
          <w:szCs w:val="36"/>
        </w:rPr>
      </w:pPr>
      <w:r>
        <w:rPr>
          <w:rStyle w:val="16"/>
          <w:rFonts w:hint="eastAsia" w:ascii="仿宋" w:hAnsi="仿宋" w:eastAsia="仿宋" w:cs="仿宋"/>
          <w:b w:val="0"/>
          <w:bCs w:val="0"/>
          <w:color w:val="auto"/>
          <w:sz w:val="28"/>
          <w:szCs w:val="36"/>
        </w:rPr>
        <w:t>(五)负责全县工会经费的收缴上交和工会资产管理、审查、 审计工作。</w:t>
      </w:r>
    </w:p>
    <w:p w14:paraId="258284F2">
      <w:pPr>
        <w:spacing w:line="360" w:lineRule="auto"/>
        <w:ind w:firstLine="560" w:firstLineChars="200"/>
        <w:rPr>
          <w:rStyle w:val="16"/>
          <w:rFonts w:hint="eastAsia" w:ascii="仿宋" w:hAnsi="仿宋" w:eastAsia="仿宋" w:cs="仿宋"/>
          <w:b w:val="0"/>
          <w:bCs w:val="0"/>
          <w:color w:val="auto"/>
          <w:sz w:val="28"/>
          <w:szCs w:val="36"/>
        </w:rPr>
      </w:pPr>
      <w:r>
        <w:rPr>
          <w:rStyle w:val="16"/>
          <w:rFonts w:hint="eastAsia" w:ascii="仿宋" w:hAnsi="仿宋" w:eastAsia="仿宋" w:cs="仿宋"/>
          <w:b w:val="0"/>
          <w:bCs w:val="0"/>
          <w:color w:val="auto"/>
          <w:sz w:val="28"/>
          <w:szCs w:val="36"/>
        </w:rPr>
        <w:t>(六)承担县委、政府和自治州总工会交办的其他事项。</w:t>
      </w:r>
    </w:p>
    <w:p w14:paraId="45065DDF">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14:paraId="48468C4E">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14:paraId="2A38559E">
      <w:pPr>
        <w:widowControl/>
        <w:spacing w:line="520" w:lineRule="atLeast"/>
        <w:ind w:firstLine="630"/>
        <w:jc w:val="left"/>
        <w:rPr>
          <w:rStyle w:val="16"/>
          <w:rFonts w:hint="eastAsia" w:ascii="仿宋" w:hAnsi="仿宋" w:eastAsia="仿宋" w:cs="仿宋"/>
          <w:b w:val="0"/>
          <w:bCs w:val="0"/>
          <w:color w:val="auto"/>
          <w:sz w:val="28"/>
          <w:szCs w:val="36"/>
          <w:highlight w:val="none"/>
        </w:rPr>
      </w:pPr>
      <w:r>
        <w:rPr>
          <w:rStyle w:val="16"/>
          <w:rFonts w:hint="eastAsia" w:ascii="仿宋_GB2312" w:hAnsi="楷体" w:eastAsia="仿宋_GB2312"/>
          <w:b w:val="0"/>
          <w:spacing w:val="-4"/>
          <w:sz w:val="28"/>
          <w:szCs w:val="28"/>
          <w:highlight w:val="none"/>
          <w:lang w:eastAsia="zh-CN"/>
        </w:rPr>
        <w:t>特克斯县总工会</w:t>
      </w:r>
      <w:r>
        <w:rPr>
          <w:rStyle w:val="16"/>
          <w:rFonts w:hint="eastAsia" w:ascii="仿宋_GB2312" w:hAnsi="楷体" w:eastAsia="仿宋_GB2312"/>
          <w:b w:val="0"/>
          <w:spacing w:val="-4"/>
          <w:sz w:val="28"/>
          <w:szCs w:val="28"/>
          <w:highlight w:val="none"/>
        </w:rPr>
        <w:t>无下属预算单位，下设</w:t>
      </w: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spacing w:val="-4"/>
          <w:sz w:val="28"/>
          <w:szCs w:val="28"/>
          <w:highlight w:val="none"/>
        </w:rPr>
        <w:t>个</w:t>
      </w:r>
      <w:r>
        <w:rPr>
          <w:rStyle w:val="16"/>
          <w:rFonts w:hint="eastAsia" w:ascii="仿宋_GB2312" w:hAnsi="楷体" w:eastAsia="仿宋_GB2312"/>
          <w:b w:val="0"/>
          <w:spacing w:val="-4"/>
          <w:sz w:val="28"/>
          <w:szCs w:val="28"/>
          <w:highlight w:val="none"/>
          <w:lang w:val="en-US" w:eastAsia="zh-CN"/>
        </w:rPr>
        <w:t>科</w:t>
      </w:r>
      <w:r>
        <w:rPr>
          <w:rStyle w:val="16"/>
          <w:rFonts w:hint="eastAsia" w:ascii="仿宋_GB2312" w:hAnsi="楷体" w:eastAsia="仿宋_GB2312"/>
          <w:b w:val="0"/>
          <w:spacing w:val="-4"/>
          <w:sz w:val="28"/>
          <w:szCs w:val="28"/>
          <w:highlight w:val="none"/>
        </w:rPr>
        <w:t>室，分别是：</w:t>
      </w:r>
      <w:r>
        <w:rPr>
          <w:rStyle w:val="16"/>
          <w:rFonts w:hint="eastAsia" w:ascii="仿宋" w:hAnsi="仿宋" w:eastAsia="仿宋" w:cs="仿宋"/>
          <w:b w:val="0"/>
          <w:bCs w:val="0"/>
          <w:color w:val="auto"/>
          <w:sz w:val="28"/>
          <w:szCs w:val="36"/>
          <w:highlight w:val="none"/>
        </w:rPr>
        <w:t>办公室</w:t>
      </w:r>
      <w:r>
        <w:rPr>
          <w:rStyle w:val="16"/>
          <w:rFonts w:hint="eastAsia" w:ascii="仿宋" w:hAnsi="仿宋" w:eastAsia="仿宋" w:cs="仿宋"/>
          <w:b w:val="0"/>
          <w:bCs w:val="0"/>
          <w:color w:val="auto"/>
          <w:sz w:val="28"/>
          <w:szCs w:val="36"/>
          <w:highlight w:val="none"/>
          <w:lang w:eastAsia="zh-CN"/>
        </w:rPr>
        <w:t>、</w:t>
      </w:r>
      <w:r>
        <w:rPr>
          <w:rStyle w:val="16"/>
          <w:rFonts w:hint="eastAsia" w:ascii="仿宋" w:hAnsi="仿宋" w:eastAsia="仿宋" w:cs="仿宋"/>
          <w:b w:val="0"/>
          <w:bCs w:val="0"/>
          <w:color w:val="auto"/>
          <w:sz w:val="28"/>
          <w:szCs w:val="36"/>
          <w:highlight w:val="none"/>
        </w:rPr>
        <w:t>财务室</w:t>
      </w:r>
      <w:r>
        <w:rPr>
          <w:rStyle w:val="16"/>
          <w:rFonts w:hint="eastAsia" w:ascii="仿宋" w:hAnsi="仿宋" w:eastAsia="仿宋" w:cs="仿宋"/>
          <w:b w:val="0"/>
          <w:bCs w:val="0"/>
          <w:color w:val="auto"/>
          <w:sz w:val="28"/>
          <w:szCs w:val="36"/>
          <w:highlight w:val="none"/>
          <w:lang w:eastAsia="zh-CN"/>
        </w:rPr>
        <w:t>、</w:t>
      </w:r>
      <w:r>
        <w:rPr>
          <w:rStyle w:val="16"/>
          <w:rFonts w:hint="eastAsia" w:ascii="仿宋" w:hAnsi="仿宋" w:eastAsia="仿宋" w:cs="仿宋"/>
          <w:b w:val="0"/>
          <w:bCs w:val="0"/>
          <w:color w:val="auto"/>
          <w:sz w:val="28"/>
          <w:szCs w:val="36"/>
          <w:highlight w:val="none"/>
        </w:rPr>
        <w:t>维权室</w:t>
      </w:r>
      <w:r>
        <w:rPr>
          <w:rStyle w:val="16"/>
          <w:rFonts w:hint="eastAsia" w:ascii="仿宋" w:hAnsi="仿宋" w:eastAsia="仿宋" w:cs="仿宋"/>
          <w:b w:val="0"/>
          <w:bCs w:val="0"/>
          <w:color w:val="auto"/>
          <w:sz w:val="28"/>
          <w:szCs w:val="36"/>
          <w:highlight w:val="none"/>
          <w:lang w:eastAsia="zh-CN"/>
        </w:rPr>
        <w:t>、</w:t>
      </w:r>
      <w:r>
        <w:rPr>
          <w:rStyle w:val="16"/>
          <w:rFonts w:hint="eastAsia" w:ascii="仿宋" w:hAnsi="仿宋" w:eastAsia="仿宋" w:cs="仿宋"/>
          <w:b w:val="0"/>
          <w:bCs w:val="0"/>
          <w:color w:val="auto"/>
          <w:sz w:val="28"/>
          <w:szCs w:val="36"/>
          <w:highlight w:val="none"/>
        </w:rPr>
        <w:t>帮扶中心。</w:t>
      </w:r>
    </w:p>
    <w:p w14:paraId="0465B2B8">
      <w:pPr>
        <w:spacing w:line="360" w:lineRule="auto"/>
        <w:ind w:firstLine="544" w:firstLineChars="200"/>
        <w:rPr>
          <w:rFonts w:hint="eastAsia" w:ascii="仿宋_GB2312" w:hAnsi="仿宋_GB2312" w:eastAsia="仿宋_GB2312" w:cs="仿宋_GB2312"/>
          <w:kern w:val="1"/>
          <w:sz w:val="32"/>
          <w:szCs w:val="32"/>
          <w:highlight w:val="none"/>
        </w:rPr>
      </w:pPr>
      <w:r>
        <w:rPr>
          <w:rStyle w:val="16"/>
          <w:rFonts w:hint="eastAsia" w:ascii="仿宋_GB2312" w:hAnsi="楷体" w:eastAsia="仿宋_GB2312"/>
          <w:b w:val="0"/>
          <w:spacing w:val="-4"/>
          <w:sz w:val="28"/>
          <w:szCs w:val="28"/>
          <w:highlight w:val="none"/>
        </w:rPr>
        <w:t>（2）2021年</w:t>
      </w:r>
      <w:r>
        <w:rPr>
          <w:rStyle w:val="16"/>
          <w:rFonts w:hint="eastAsia" w:ascii="仿宋_GB2312" w:hAnsi="楷体" w:eastAsia="仿宋_GB2312"/>
          <w:b w:val="0"/>
          <w:spacing w:val="-4"/>
          <w:sz w:val="28"/>
          <w:szCs w:val="28"/>
          <w:highlight w:val="none"/>
          <w:lang w:eastAsia="zh-CN"/>
        </w:rPr>
        <w:t>特克斯县总工会</w:t>
      </w:r>
      <w:r>
        <w:rPr>
          <w:rStyle w:val="16"/>
          <w:rFonts w:hint="eastAsia" w:ascii="仿宋_GB2312" w:hAnsi="楷体" w:eastAsia="仿宋_GB2312"/>
          <w:b w:val="0"/>
          <w:spacing w:val="-4"/>
          <w:sz w:val="28"/>
          <w:szCs w:val="28"/>
          <w:highlight w:val="none"/>
        </w:rPr>
        <w:t>实有在职人员为</w:t>
      </w:r>
      <w:r>
        <w:rPr>
          <w:rStyle w:val="16"/>
          <w:rFonts w:hint="eastAsia" w:ascii="仿宋_GB2312" w:hAnsi="楷体" w:eastAsia="仿宋_GB2312"/>
          <w:b w:val="0"/>
          <w:spacing w:val="-4"/>
          <w:sz w:val="28"/>
          <w:szCs w:val="28"/>
          <w:highlight w:val="none"/>
          <w:lang w:val="en-US" w:eastAsia="zh-CN"/>
        </w:rPr>
        <w:t>8</w:t>
      </w:r>
      <w:r>
        <w:rPr>
          <w:rStyle w:val="16"/>
          <w:rFonts w:hint="eastAsia" w:ascii="仿宋_GB2312" w:hAnsi="楷体" w:eastAsia="仿宋_GB2312"/>
          <w:b w:val="0"/>
          <w:spacing w:val="-4"/>
          <w:sz w:val="28"/>
          <w:szCs w:val="28"/>
          <w:highlight w:val="none"/>
        </w:rPr>
        <w:t>人，其中</w:t>
      </w:r>
    </w:p>
    <w:p w14:paraId="4FDFAB84">
      <w:pPr>
        <w:spacing w:line="360" w:lineRule="auto"/>
        <w:ind w:firstLine="544" w:firstLineChars="200"/>
        <w:rPr>
          <w:rStyle w:val="16"/>
          <w:rFonts w:hint="eastAsia" w:ascii="仿宋_GB2312" w:hAnsi="楷体" w:eastAsia="仿宋_GB2312"/>
          <w:b w:val="0"/>
          <w:color w:val="auto"/>
          <w:spacing w:val="-4"/>
          <w:sz w:val="28"/>
          <w:szCs w:val="28"/>
          <w:highlight w:val="none"/>
        </w:rPr>
      </w:pPr>
      <w:r>
        <w:rPr>
          <w:rStyle w:val="16"/>
          <w:rFonts w:hint="eastAsia" w:ascii="仿宋_GB2312" w:hAnsi="楷体" w:eastAsia="仿宋_GB2312"/>
          <w:b w:val="0"/>
          <w:spacing w:val="-4"/>
          <w:sz w:val="28"/>
          <w:szCs w:val="28"/>
          <w:highlight w:val="none"/>
        </w:rPr>
        <w:t>行政在职</w:t>
      </w: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spacing w:val="-4"/>
          <w:sz w:val="28"/>
          <w:szCs w:val="28"/>
          <w:highlight w:val="none"/>
        </w:rPr>
        <w:t>人（上年</w:t>
      </w: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spacing w:val="-4"/>
          <w:sz w:val="28"/>
          <w:szCs w:val="28"/>
          <w:highlight w:val="none"/>
        </w:rPr>
        <w:t>人），</w:t>
      </w:r>
      <w:r>
        <w:rPr>
          <w:rStyle w:val="16"/>
          <w:rFonts w:hint="eastAsia" w:ascii="仿宋_GB2312" w:hAnsi="楷体" w:eastAsia="仿宋_GB2312"/>
          <w:b w:val="0"/>
          <w:color w:val="auto"/>
          <w:spacing w:val="-4"/>
          <w:sz w:val="28"/>
          <w:szCs w:val="28"/>
          <w:highlight w:val="none"/>
        </w:rPr>
        <w:t>与上年一致；</w:t>
      </w:r>
    </w:p>
    <w:p w14:paraId="0A93A2B4">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事业</w:t>
      </w:r>
      <w:r>
        <w:rPr>
          <w:rStyle w:val="16"/>
          <w:rFonts w:hint="eastAsia" w:ascii="仿宋_GB2312" w:hAnsi="楷体" w:eastAsia="仿宋_GB2312"/>
          <w:b w:val="0"/>
          <w:spacing w:val="-4"/>
          <w:sz w:val="28"/>
          <w:szCs w:val="28"/>
          <w:highlight w:val="none"/>
        </w:rPr>
        <w:t>在职</w:t>
      </w: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spacing w:val="-4"/>
          <w:sz w:val="28"/>
          <w:szCs w:val="28"/>
          <w:highlight w:val="none"/>
        </w:rPr>
        <w:t>人（上年</w:t>
      </w:r>
      <w:r>
        <w:rPr>
          <w:rStyle w:val="16"/>
          <w:rFonts w:hint="eastAsia" w:ascii="仿宋_GB2312" w:hAnsi="楷体" w:eastAsia="仿宋_GB2312"/>
          <w:b w:val="0"/>
          <w:spacing w:val="-4"/>
          <w:sz w:val="28"/>
          <w:szCs w:val="28"/>
          <w:highlight w:val="none"/>
          <w:lang w:val="en-US" w:eastAsia="zh-CN"/>
        </w:rPr>
        <w:t>4</w:t>
      </w:r>
      <w:r>
        <w:rPr>
          <w:rStyle w:val="16"/>
          <w:rFonts w:hint="eastAsia" w:ascii="仿宋_GB2312" w:hAnsi="楷体" w:eastAsia="仿宋_GB2312"/>
          <w:b w:val="0"/>
          <w:spacing w:val="-4"/>
          <w:sz w:val="28"/>
          <w:szCs w:val="28"/>
          <w:highlight w:val="none"/>
        </w:rPr>
        <w:t>人），</w:t>
      </w:r>
      <w:r>
        <w:rPr>
          <w:rStyle w:val="16"/>
          <w:rFonts w:hint="eastAsia" w:ascii="仿宋_GB2312" w:hAnsi="楷体" w:eastAsia="仿宋_GB2312"/>
          <w:b w:val="0"/>
          <w:color w:val="auto"/>
          <w:spacing w:val="-4"/>
          <w:sz w:val="28"/>
          <w:szCs w:val="28"/>
          <w:highlight w:val="none"/>
        </w:rPr>
        <w:t>与上年一致</w:t>
      </w:r>
    </w:p>
    <w:p w14:paraId="5167E9C1">
      <w:pPr>
        <w:spacing w:line="360" w:lineRule="auto"/>
        <w:ind w:firstLine="544" w:firstLineChars="200"/>
        <w:rPr>
          <w:rStyle w:val="16"/>
          <w:rFonts w:ascii="仿宋_GB2312" w:hAnsi="楷体" w:eastAsia="仿宋_GB2312"/>
          <w:b w:val="0"/>
          <w:spacing w:val="-4"/>
          <w:sz w:val="28"/>
          <w:szCs w:val="28"/>
          <w:highlight w:val="yellow"/>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7</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7</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color w:val="auto"/>
          <w:spacing w:val="-4"/>
          <w:sz w:val="28"/>
          <w:szCs w:val="28"/>
          <w:highlight w:val="none"/>
        </w:rPr>
        <w:t>与上年一致</w:t>
      </w:r>
      <w:r>
        <w:rPr>
          <w:rStyle w:val="16"/>
          <w:rFonts w:hint="eastAsia" w:ascii="仿宋_GB2312" w:hAnsi="楷体" w:eastAsia="仿宋_GB2312"/>
          <w:b w:val="0"/>
          <w:spacing w:val="-4"/>
          <w:sz w:val="28"/>
          <w:szCs w:val="28"/>
          <w:highlight w:val="none"/>
        </w:rPr>
        <w:t>。</w:t>
      </w:r>
    </w:p>
    <w:p w14:paraId="5A58257C">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color w:val="auto"/>
          <w:spacing w:val="-4"/>
          <w:sz w:val="28"/>
          <w:szCs w:val="28"/>
        </w:rPr>
        <w:t>与上年一致</w:t>
      </w:r>
      <w:r>
        <w:rPr>
          <w:rStyle w:val="16"/>
          <w:rFonts w:hint="eastAsia" w:ascii="仿宋_GB2312" w:hAnsi="楷体" w:eastAsia="仿宋_GB2312"/>
          <w:b w:val="0"/>
          <w:spacing w:val="-4"/>
          <w:sz w:val="28"/>
          <w:szCs w:val="28"/>
          <w:lang w:eastAsia="zh-CN"/>
        </w:rPr>
        <w:t>。</w:t>
      </w:r>
    </w:p>
    <w:p w14:paraId="18B2E7A0">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14:paraId="31DDAE43">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bookmarkStart w:id="6" w:name="_Toc70450294"/>
      <w:r>
        <w:rPr>
          <w:rStyle w:val="16"/>
          <w:rFonts w:hint="eastAsia" w:ascii="仿宋_GB2312" w:hAnsi="楷体" w:eastAsia="仿宋_GB2312" w:cs="Times New Roman"/>
          <w:b w:val="0"/>
          <w:spacing w:val="-4"/>
          <w:kern w:val="2"/>
          <w:sz w:val="28"/>
          <w:szCs w:val="28"/>
          <w:lang w:val="en-US" w:eastAsia="zh-CN" w:bidi="ar-SA"/>
        </w:rPr>
        <w:t>1、牢固树立“四个意识”，坚守红线底线，强化监管，严防出现违规举债现象，确保2021年绝对违规零举债。</w:t>
      </w:r>
    </w:p>
    <w:p w14:paraId="6B9BD06A">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2、对困难职工实行动态监管，定期对困难职工进行动态管理</w:t>
      </w:r>
    </w:p>
    <w:p w14:paraId="1BD150A9">
      <w:pPr>
        <w:pStyle w:val="12"/>
        <w:widowControl/>
        <w:spacing w:before="40" w:beforeAutospacing="0" w:after="0" w:afterAutospacing="0" w:line="520" w:lineRule="atLeast"/>
        <w:ind w:firstLine="544" w:firstLineChars="200"/>
        <w:jc w:val="both"/>
        <w:rPr>
          <w:rStyle w:val="16"/>
          <w:rFonts w:hint="eastAsia" w:ascii="仿宋_GB2312" w:hAnsi="楷体" w:eastAsia="仿宋_GB2312" w:cs="Times New Roman"/>
          <w:b w:val="0"/>
          <w:spacing w:val="-4"/>
          <w:kern w:val="2"/>
          <w:sz w:val="28"/>
          <w:szCs w:val="28"/>
          <w:lang w:val="en-US" w:eastAsia="zh-CN" w:bidi="ar-SA"/>
        </w:rPr>
      </w:pPr>
      <w:r>
        <w:rPr>
          <w:rStyle w:val="16"/>
          <w:rFonts w:hint="eastAsia" w:ascii="仿宋_GB2312" w:hAnsi="楷体" w:eastAsia="仿宋_GB2312" w:cs="Times New Roman"/>
          <w:b w:val="0"/>
          <w:spacing w:val="-4"/>
          <w:kern w:val="2"/>
          <w:sz w:val="28"/>
          <w:szCs w:val="28"/>
          <w:lang w:val="en-US" w:eastAsia="zh-CN" w:bidi="ar-SA"/>
        </w:rPr>
        <w:t>3、杜绝使用专项资金、高息贷款资金化解债务。严格按照上报自治州党委、自治州人民政府的化解方案，对照时间节点、化解措施，认真化解，确保2021年及以后年度化解任务不折不扣的完成。</w:t>
      </w:r>
    </w:p>
    <w:p w14:paraId="13A29D94">
      <w:pPr>
        <w:pStyle w:val="4"/>
        <w:spacing w:line="360" w:lineRule="auto"/>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14:paraId="4F682B0D">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14:paraId="34D8CC8A">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color w:val="auto"/>
          <w:spacing w:val="-4"/>
          <w:sz w:val="28"/>
          <w:szCs w:val="28"/>
          <w:highlight w:val="none"/>
        </w:rPr>
        <w:t>2021年批复我单位预算为</w:t>
      </w:r>
      <w:r>
        <w:rPr>
          <w:rStyle w:val="16"/>
          <w:rFonts w:hint="eastAsia" w:ascii="仿宋_GB2312" w:hAnsi="楷体" w:eastAsia="仿宋_GB2312"/>
          <w:b w:val="0"/>
          <w:color w:val="auto"/>
          <w:spacing w:val="-4"/>
          <w:sz w:val="28"/>
          <w:szCs w:val="28"/>
          <w:highlight w:val="none"/>
          <w:lang w:val="en-US" w:eastAsia="zh-CN"/>
        </w:rPr>
        <w:t>155.72</w:t>
      </w:r>
      <w:r>
        <w:rPr>
          <w:rStyle w:val="16"/>
          <w:rFonts w:hint="eastAsia" w:ascii="仿宋_GB2312" w:hAnsi="楷体" w:eastAsia="仿宋_GB2312"/>
          <w:b w:val="0"/>
          <w:color w:val="auto"/>
          <w:spacing w:val="-4"/>
          <w:sz w:val="28"/>
          <w:szCs w:val="28"/>
          <w:highlight w:val="none"/>
        </w:rPr>
        <w:t>万元，其中：财政拨款为</w:t>
      </w:r>
      <w:r>
        <w:rPr>
          <w:rStyle w:val="16"/>
          <w:rFonts w:hint="eastAsia" w:ascii="仿宋_GB2312" w:hAnsi="楷体" w:eastAsia="仿宋_GB2312"/>
          <w:b w:val="0"/>
          <w:color w:val="auto"/>
          <w:spacing w:val="-4"/>
          <w:sz w:val="28"/>
          <w:szCs w:val="28"/>
          <w:highlight w:val="none"/>
          <w:lang w:val="en-US" w:eastAsia="zh-CN"/>
        </w:rPr>
        <w:t>155.72</w:t>
      </w:r>
      <w:r>
        <w:rPr>
          <w:rStyle w:val="16"/>
          <w:rFonts w:hint="eastAsia" w:ascii="仿宋_GB2312" w:hAnsi="楷体" w:eastAsia="仿宋_GB2312"/>
          <w:b w:val="0"/>
          <w:color w:val="auto"/>
          <w:spacing w:val="-4"/>
          <w:sz w:val="28"/>
          <w:szCs w:val="28"/>
          <w:highlight w:val="none"/>
        </w:rPr>
        <w:t>万元</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年中追加</w:t>
      </w:r>
      <w:r>
        <w:rPr>
          <w:rStyle w:val="16"/>
          <w:rFonts w:hint="eastAsia" w:ascii="仿宋_GB2312" w:hAnsi="楷体" w:eastAsia="仿宋_GB2312"/>
          <w:b w:val="0"/>
          <w:color w:val="auto"/>
          <w:spacing w:val="-4"/>
          <w:sz w:val="28"/>
          <w:szCs w:val="28"/>
          <w:highlight w:val="none"/>
          <w:lang w:val="en-US" w:eastAsia="zh-CN"/>
        </w:rPr>
        <w:t>64.68</w:t>
      </w:r>
      <w:r>
        <w:rPr>
          <w:rStyle w:val="16"/>
          <w:rFonts w:hint="eastAsia" w:ascii="仿宋_GB2312" w:hAnsi="楷体" w:eastAsia="仿宋_GB2312"/>
          <w:b w:val="0"/>
          <w:color w:val="auto"/>
          <w:spacing w:val="-4"/>
          <w:sz w:val="28"/>
          <w:szCs w:val="28"/>
          <w:highlight w:val="none"/>
        </w:rPr>
        <w:t>万元，调整率</w:t>
      </w:r>
      <w:r>
        <w:rPr>
          <w:rStyle w:val="16"/>
          <w:rFonts w:hint="eastAsia" w:ascii="仿宋_GB2312" w:hAnsi="楷体" w:eastAsia="仿宋_GB2312"/>
          <w:b w:val="0"/>
          <w:color w:val="auto"/>
          <w:spacing w:val="-4"/>
          <w:sz w:val="28"/>
          <w:szCs w:val="28"/>
          <w:highlight w:val="none"/>
          <w:lang w:val="en-US" w:eastAsia="zh-CN"/>
        </w:rPr>
        <w:t>71.05</w:t>
      </w:r>
      <w:r>
        <w:rPr>
          <w:rStyle w:val="16"/>
          <w:rFonts w:hint="eastAsia" w:ascii="仿宋_GB2312" w:hAnsi="楷体" w:eastAsia="仿宋_GB2312"/>
          <w:b w:val="0"/>
          <w:color w:val="auto"/>
          <w:spacing w:val="-4"/>
          <w:sz w:val="28"/>
          <w:szCs w:val="28"/>
          <w:highlight w:val="none"/>
        </w:rPr>
        <w:t>%。对比上年</w:t>
      </w:r>
      <w:r>
        <w:rPr>
          <w:rStyle w:val="16"/>
          <w:rFonts w:hint="eastAsia" w:ascii="仿宋_GB2312" w:hAnsi="楷体" w:eastAsia="仿宋_GB2312"/>
          <w:b w:val="0"/>
          <w:color w:val="auto"/>
          <w:spacing w:val="-4"/>
          <w:sz w:val="28"/>
          <w:szCs w:val="28"/>
          <w:highlight w:val="none"/>
          <w:lang w:val="en-US" w:eastAsia="zh-CN"/>
        </w:rPr>
        <w:t>152.04</w:t>
      </w:r>
      <w:r>
        <w:rPr>
          <w:rStyle w:val="16"/>
          <w:rFonts w:hint="eastAsia" w:ascii="仿宋_GB2312" w:hAnsi="楷体" w:eastAsia="仿宋_GB2312"/>
          <w:b w:val="0"/>
          <w:color w:val="auto"/>
          <w:spacing w:val="-4"/>
          <w:sz w:val="28"/>
          <w:szCs w:val="28"/>
          <w:highlight w:val="none"/>
        </w:rPr>
        <w:t>万元增加</w:t>
      </w:r>
      <w:r>
        <w:rPr>
          <w:rStyle w:val="16"/>
          <w:rFonts w:hint="eastAsia" w:ascii="仿宋_GB2312" w:hAnsi="楷体" w:eastAsia="仿宋_GB2312"/>
          <w:b w:val="0"/>
          <w:color w:val="auto"/>
          <w:spacing w:val="-4"/>
          <w:sz w:val="28"/>
          <w:szCs w:val="28"/>
          <w:highlight w:val="none"/>
          <w:lang w:val="en-US" w:eastAsia="zh-CN"/>
        </w:rPr>
        <w:t>3.68</w:t>
      </w:r>
      <w:r>
        <w:rPr>
          <w:rStyle w:val="16"/>
          <w:rFonts w:hint="eastAsia" w:ascii="仿宋_GB2312" w:hAnsi="楷体" w:eastAsia="仿宋_GB2312"/>
          <w:b w:val="0"/>
          <w:color w:val="auto"/>
          <w:spacing w:val="-4"/>
          <w:sz w:val="28"/>
          <w:szCs w:val="28"/>
          <w:highlight w:val="none"/>
        </w:rPr>
        <w:t>万元，上升</w:t>
      </w:r>
      <w:r>
        <w:rPr>
          <w:rStyle w:val="16"/>
          <w:rFonts w:hint="eastAsia" w:ascii="仿宋_GB2312" w:hAnsi="楷体" w:eastAsia="仿宋_GB2312"/>
          <w:b w:val="0"/>
          <w:color w:val="auto"/>
          <w:spacing w:val="-4"/>
          <w:sz w:val="28"/>
          <w:szCs w:val="28"/>
          <w:highlight w:val="none"/>
          <w:lang w:val="en-US" w:eastAsia="zh-CN"/>
        </w:rPr>
        <w:t>2.42</w:t>
      </w:r>
      <w:r>
        <w:rPr>
          <w:rStyle w:val="16"/>
          <w:rFonts w:hint="eastAsia" w:ascii="仿宋_GB2312" w:hAnsi="楷体" w:eastAsia="仿宋_GB2312"/>
          <w:b w:val="0"/>
          <w:color w:val="auto"/>
          <w:spacing w:val="-4"/>
          <w:sz w:val="28"/>
          <w:szCs w:val="28"/>
          <w:highlight w:val="none"/>
        </w:rPr>
        <w:t>%。</w:t>
      </w:r>
    </w:p>
    <w:p w14:paraId="3ED7851C">
      <w:pPr>
        <w:spacing w:line="360" w:lineRule="auto"/>
        <w:ind w:firstLine="544" w:firstLineChars="200"/>
        <w:rPr>
          <w:rFonts w:cs="仿宋_GB2312"/>
          <w:highlight w:val="none"/>
          <w:lang w:bidi="ar"/>
        </w:rPr>
      </w:pPr>
      <w:r>
        <w:rPr>
          <w:rStyle w:val="16"/>
          <w:rFonts w:hint="eastAsia" w:ascii="仿宋_GB2312" w:hAnsi="楷体" w:eastAsia="仿宋_GB2312"/>
          <w:b w:val="0"/>
          <w:color w:val="auto"/>
          <w:spacing w:val="-4"/>
          <w:sz w:val="28"/>
          <w:szCs w:val="28"/>
          <w:highlight w:val="none"/>
        </w:rPr>
        <w:t>2021年实际决算支出</w:t>
      </w:r>
      <w:r>
        <w:rPr>
          <w:rStyle w:val="16"/>
          <w:rFonts w:hint="eastAsia" w:ascii="仿宋_GB2312" w:hAnsi="楷体" w:eastAsia="仿宋_GB2312"/>
          <w:b w:val="0"/>
          <w:color w:val="auto"/>
          <w:spacing w:val="-4"/>
          <w:sz w:val="28"/>
          <w:szCs w:val="28"/>
          <w:highlight w:val="none"/>
          <w:lang w:val="en-US" w:eastAsia="zh-CN"/>
        </w:rPr>
        <w:t>155.72</w:t>
      </w:r>
      <w:r>
        <w:rPr>
          <w:rStyle w:val="16"/>
          <w:rFonts w:hint="eastAsia" w:ascii="仿宋_GB2312" w:hAnsi="楷体" w:eastAsia="仿宋_GB2312"/>
          <w:b w:val="0"/>
          <w:color w:val="auto"/>
          <w:spacing w:val="-4"/>
          <w:sz w:val="28"/>
          <w:szCs w:val="28"/>
          <w:highlight w:val="none"/>
        </w:rPr>
        <w:t>万元，执行率</w:t>
      </w:r>
      <w:r>
        <w:rPr>
          <w:rStyle w:val="16"/>
          <w:rFonts w:hint="eastAsia" w:ascii="仿宋_GB2312" w:hAnsi="楷体" w:eastAsia="仿宋_GB2312"/>
          <w:b w:val="0"/>
          <w:color w:val="auto"/>
          <w:spacing w:val="-4"/>
          <w:sz w:val="28"/>
          <w:szCs w:val="28"/>
          <w:highlight w:val="none"/>
          <w:lang w:val="en-US" w:eastAsia="zh-CN"/>
        </w:rPr>
        <w:t>100</w:t>
      </w:r>
      <w:r>
        <w:rPr>
          <w:rStyle w:val="16"/>
          <w:rFonts w:hint="eastAsia" w:ascii="仿宋_GB2312" w:hAnsi="楷体" w:eastAsia="仿宋_GB2312"/>
          <w:b w:val="0"/>
          <w:color w:val="auto"/>
          <w:spacing w:val="-4"/>
          <w:sz w:val="28"/>
          <w:szCs w:val="28"/>
          <w:highlight w:val="none"/>
        </w:rPr>
        <w:t>%，其中</w:t>
      </w:r>
      <w:r>
        <w:rPr>
          <w:rStyle w:val="16"/>
          <w:rFonts w:hint="eastAsia" w:ascii="仿宋_GB2312" w:hAnsi="楷体" w:eastAsia="仿宋_GB2312"/>
          <w:b w:val="0"/>
          <w:spacing w:val="-4"/>
          <w:sz w:val="28"/>
          <w:szCs w:val="28"/>
          <w:highlight w:val="none"/>
        </w:rPr>
        <w:t>：</w:t>
      </w:r>
    </w:p>
    <w:p w14:paraId="2980F227">
      <w:pPr>
        <w:numPr>
          <w:ilvl w:val="0"/>
          <w:numId w:val="1"/>
        </w:numPr>
        <w:spacing w:line="360" w:lineRule="auto"/>
        <w:ind w:left="86" w:leftChars="0" w:firstLine="544" w:firstLineChars="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基本支出</w:t>
      </w:r>
      <w:r>
        <w:rPr>
          <w:rStyle w:val="16"/>
          <w:rFonts w:hint="eastAsia" w:ascii="仿宋_GB2312" w:hAnsi="楷体" w:eastAsia="仿宋_GB2312"/>
          <w:b w:val="0"/>
          <w:spacing w:val="-4"/>
          <w:sz w:val="28"/>
          <w:szCs w:val="28"/>
          <w:highlight w:val="none"/>
          <w:lang w:val="en-US" w:eastAsia="zh-CN"/>
        </w:rPr>
        <w:t>155.72</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，主要用于本</w:t>
      </w:r>
      <w:r>
        <w:rPr>
          <w:rStyle w:val="16"/>
          <w:rFonts w:hint="eastAsia" w:ascii="仿宋_GB2312" w:hAnsi="楷体" w:eastAsia="仿宋_GB2312"/>
          <w:b w:val="0"/>
          <w:color w:val="auto"/>
          <w:spacing w:val="-4"/>
          <w:sz w:val="28"/>
          <w:szCs w:val="28"/>
          <w:highlight w:val="none"/>
        </w:rPr>
        <w:t>单位</w:t>
      </w:r>
      <w:r>
        <w:rPr>
          <w:rStyle w:val="16"/>
          <w:rFonts w:hint="eastAsia" w:ascii="仿宋_GB2312" w:hAnsi="楷体" w:eastAsia="仿宋_GB2312"/>
          <w:b w:val="0"/>
          <w:spacing w:val="-4"/>
          <w:sz w:val="28"/>
          <w:szCs w:val="28"/>
          <w:highlight w:val="none"/>
        </w:rPr>
        <w:t>机构正常运转、完成日常工作任务而发生的各项支出。其中：工资福利支出</w:t>
      </w:r>
      <w:r>
        <w:rPr>
          <w:rStyle w:val="16"/>
          <w:rFonts w:hint="eastAsia" w:ascii="仿宋_GB2312" w:hAnsi="楷体" w:eastAsia="仿宋_GB2312"/>
          <w:b w:val="0"/>
          <w:spacing w:val="-4"/>
          <w:sz w:val="28"/>
          <w:szCs w:val="28"/>
          <w:highlight w:val="none"/>
          <w:lang w:val="en-US" w:eastAsia="zh-CN"/>
        </w:rPr>
        <w:t>111.68</w:t>
      </w:r>
      <w:r>
        <w:rPr>
          <w:rStyle w:val="16"/>
          <w:rFonts w:hint="eastAsia" w:ascii="仿宋_GB2312" w:hAnsi="楷体" w:eastAsia="仿宋_GB2312"/>
          <w:b w:val="0"/>
          <w:spacing w:val="-4"/>
          <w:sz w:val="28"/>
          <w:szCs w:val="28"/>
          <w:highlight w:val="none"/>
        </w:rPr>
        <w:t>万元，主要用于在职和离退休人员基本工资、津贴补贴等人员经费。商品和服务支出</w:t>
      </w:r>
      <w:r>
        <w:rPr>
          <w:rStyle w:val="16"/>
          <w:rFonts w:hint="eastAsia" w:ascii="仿宋_GB2312" w:hAnsi="楷体" w:eastAsia="仿宋_GB2312"/>
          <w:b w:val="0"/>
          <w:spacing w:val="-4"/>
          <w:sz w:val="28"/>
          <w:szCs w:val="28"/>
          <w:highlight w:val="none"/>
          <w:lang w:val="en-US" w:eastAsia="zh-CN"/>
        </w:rPr>
        <w:t>41.93</w:t>
      </w:r>
      <w:r>
        <w:rPr>
          <w:rStyle w:val="16"/>
          <w:rFonts w:hint="eastAsia" w:ascii="仿宋_GB2312" w:hAnsi="楷体" w:eastAsia="仿宋_GB2312"/>
          <w:b w:val="0"/>
          <w:spacing w:val="-4"/>
          <w:sz w:val="28"/>
          <w:szCs w:val="28"/>
          <w:highlight w:val="none"/>
        </w:rPr>
        <w:t>万元，主要用于办公费、印刷费、水电费、办公设备购置等</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对个人和家庭的补助</w:t>
      </w:r>
      <w:r>
        <w:rPr>
          <w:rStyle w:val="16"/>
          <w:rFonts w:hint="eastAsia" w:ascii="仿宋_GB2312" w:hAnsi="楷体" w:eastAsia="仿宋_GB2312"/>
          <w:b w:val="0"/>
          <w:spacing w:val="-4"/>
          <w:sz w:val="28"/>
          <w:szCs w:val="28"/>
          <w:highlight w:val="none"/>
          <w:lang w:val="en-US" w:eastAsia="zh-CN"/>
        </w:rPr>
        <w:t>2.11</w:t>
      </w:r>
      <w:r>
        <w:rPr>
          <w:rStyle w:val="16"/>
          <w:rFonts w:hint="eastAsia" w:ascii="仿宋_GB2312" w:hAnsi="楷体" w:eastAsia="仿宋_GB2312"/>
          <w:b w:val="0"/>
          <w:spacing w:val="-4"/>
          <w:sz w:val="28"/>
          <w:szCs w:val="28"/>
          <w:highlight w:val="none"/>
        </w:rPr>
        <w:t>万元，主要用于主要用</w:t>
      </w:r>
      <w:r>
        <w:rPr>
          <w:rStyle w:val="16"/>
          <w:rFonts w:hint="eastAsia" w:ascii="仿宋_GB2312" w:hAnsi="楷体" w:eastAsia="仿宋_GB2312"/>
          <w:b w:val="0"/>
          <w:color w:val="auto"/>
          <w:spacing w:val="-4"/>
          <w:sz w:val="28"/>
          <w:szCs w:val="28"/>
          <w:highlight w:val="none"/>
        </w:rPr>
        <w:t>于</w:t>
      </w:r>
      <w:r>
        <w:rPr>
          <w:rStyle w:val="16"/>
          <w:rFonts w:hint="eastAsia" w:ascii="仿宋_GB2312" w:hAnsi="楷体" w:eastAsia="仿宋_GB2312"/>
          <w:b w:val="0"/>
          <w:color w:val="auto"/>
          <w:spacing w:val="-4"/>
          <w:sz w:val="28"/>
          <w:szCs w:val="28"/>
          <w:highlight w:val="none"/>
          <w:lang w:eastAsia="zh-CN"/>
        </w:rPr>
        <w:t>在职人员工资、社保，公用经费，对个人及家庭补助</w:t>
      </w:r>
      <w:r>
        <w:rPr>
          <w:rStyle w:val="16"/>
          <w:rFonts w:hint="eastAsia" w:ascii="仿宋_GB2312" w:hAnsi="楷体" w:eastAsia="仿宋_GB2312"/>
          <w:b w:val="0"/>
          <w:spacing w:val="-4"/>
          <w:sz w:val="28"/>
          <w:szCs w:val="28"/>
          <w:highlight w:val="none"/>
        </w:rPr>
        <w:t>。资本性支出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eastAsia="zh-CN"/>
        </w:rPr>
        <w:t>。</w:t>
      </w:r>
    </w:p>
    <w:p w14:paraId="0FDF28D7">
      <w:pPr>
        <w:numPr>
          <w:ilvl w:val="0"/>
          <w:numId w:val="0"/>
        </w:numPr>
        <w:spacing w:line="360" w:lineRule="auto"/>
        <w:ind w:left="630" w:leftChars="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2</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14:paraId="185CE0A5">
      <w:pPr>
        <w:numPr>
          <w:ilvl w:val="0"/>
          <w:numId w:val="0"/>
        </w:numPr>
        <w:spacing w:line="360" w:lineRule="auto"/>
        <w:ind w:firstLine="544" w:firstLineChars="200"/>
        <w:rPr>
          <w:rStyle w:val="16"/>
          <w:rFonts w:ascii="仿宋_GB2312" w:hAnsi="楷体" w:eastAsia="仿宋_GB2312"/>
          <w:b w:val="0"/>
          <w:spacing w:val="-4"/>
          <w:sz w:val="32"/>
          <w:szCs w:val="32"/>
          <w:highlight w:val="none"/>
        </w:rPr>
      </w:pP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本年度重点项目支出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万元，重点支出保障率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w:t>
      </w:r>
    </w:p>
    <w:p w14:paraId="53EBF60E">
      <w:pPr>
        <w:numPr>
          <w:ilvl w:val="0"/>
          <w:numId w:val="0"/>
        </w:numPr>
        <w:spacing w:line="360" w:lineRule="auto"/>
        <w:ind w:firstLine="544" w:firstLineChars="200"/>
        <w:rPr>
          <w:rStyle w:val="16"/>
          <w:rFonts w:ascii="仿宋_GB2312" w:hAnsi="楷体" w:eastAsia="仿宋_GB2312"/>
          <w:b w:val="0"/>
          <w:spacing w:val="-4"/>
          <w:sz w:val="32"/>
          <w:szCs w:val="32"/>
        </w:rPr>
      </w:pP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本年度我</w:t>
      </w:r>
      <w:r>
        <w:rPr>
          <w:rStyle w:val="16"/>
          <w:rFonts w:hint="eastAsia" w:ascii="仿宋_GB2312" w:hAnsi="楷体" w:eastAsia="仿宋_GB2312" w:cs="Times New Roman"/>
          <w:b w:val="0"/>
          <w:spacing w:val="-4"/>
          <w:sz w:val="28"/>
          <w:szCs w:val="28"/>
        </w:rPr>
        <w:t>单位</w:t>
      </w:r>
      <w:r>
        <w:rPr>
          <w:rStyle w:val="16"/>
          <w:rFonts w:hint="eastAsia" w:ascii="仿宋_GB2312" w:hAnsi="楷体" w:eastAsia="仿宋_GB2312"/>
          <w:b w:val="0"/>
          <w:spacing w:val="-4"/>
          <w:sz w:val="28"/>
          <w:szCs w:val="28"/>
        </w:rPr>
        <w:t>政府采购预算</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0.2</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万元,实际用于政府采购金额</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0.2</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万元，采购执行率</w:t>
      </w:r>
      <w:r>
        <w:rPr>
          <w:rStyle w:val="16"/>
          <w:rFonts w:hint="eastAsia" w:ascii="仿宋_GB2312" w:hAnsi="宋体" w:eastAsia="仿宋_GB2312"/>
          <w:b w:val="0"/>
          <w:bCs w:val="0"/>
          <w:spacing w:val="-4"/>
          <w:sz w:val="28"/>
          <w:szCs w:val="28"/>
          <w:lang w:val="en-US" w:eastAsia="zh-CN"/>
        </w:rPr>
        <w:t>100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w:t>
      </w:r>
      <w:r>
        <w:rPr>
          <w:rStyle w:val="16"/>
          <w:rFonts w:hint="eastAsia" w:ascii="仿宋_GB2312" w:hAnsi="楷体" w:eastAsia="仿宋_GB2312"/>
          <w:color w:val="FF0000"/>
          <w:spacing w:val="-4"/>
          <w:sz w:val="28"/>
          <w:szCs w:val="28"/>
        </w:rPr>
        <w:t>。</w:t>
      </w:r>
    </w:p>
    <w:p w14:paraId="6F6C9AFF">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14:paraId="78818A98">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14:paraId="21CDF73A">
      <w:pPr>
        <w:spacing w:line="360" w:lineRule="auto"/>
        <w:ind w:firstLine="560" w:firstLineChars="200"/>
        <w:rPr>
          <w:rStyle w:val="16"/>
          <w:rFonts w:hint="eastAsia" w:ascii="仿宋" w:hAnsi="仿宋" w:eastAsia="仿宋" w:cs="仿宋"/>
          <w:b w:val="0"/>
          <w:bCs w:val="0"/>
          <w:color w:val="auto"/>
          <w:sz w:val="28"/>
          <w:szCs w:val="36"/>
          <w:highlight w:val="none"/>
          <w:lang w:val="en-US" w:eastAsia="zh-CN"/>
        </w:rPr>
      </w:pPr>
      <w:r>
        <w:rPr>
          <w:rFonts w:hint="eastAsia" w:ascii="仿宋_GB2312" w:eastAsia="仿宋_GB2312"/>
          <w:sz w:val="28"/>
          <w:szCs w:val="36"/>
        </w:rPr>
        <w:t>本次部门（单位）整体支出绩效自评采用综合指数评价法，原因是：综</w:t>
      </w:r>
      <w:r>
        <w:rPr>
          <w:rStyle w:val="16"/>
          <w:rFonts w:hint="eastAsia" w:ascii="仿宋" w:hAnsi="仿宋" w:eastAsia="仿宋" w:cs="仿宋"/>
          <w:b w:val="0"/>
          <w:bCs w:val="0"/>
          <w:color w:val="auto"/>
          <w:sz w:val="28"/>
          <w:szCs w:val="36"/>
          <w:highlight w:val="none"/>
        </w:rPr>
        <w:t>合指数评价法</w:t>
      </w:r>
      <w:r>
        <w:rPr>
          <w:rFonts w:hint="eastAsia" w:ascii="仿宋_GB2312" w:eastAsia="仿宋_GB2312"/>
          <w:sz w:val="28"/>
          <w:szCs w:val="36"/>
        </w:rPr>
        <w:t>，是综合评价的基础和依据。2、收集数据，并对不同计量单位的指标数据进行同度量处理。3、确定指标体系中各指标的权数，以保证评价的科学性。4、对经过处理后的指标在进行汇总计算出综合评价指数或综合评价分值。5、根据评价指数或分值对参评单位进行排序，并由此得出结论。</w:t>
      </w:r>
      <w:r>
        <w:rPr>
          <w:rFonts w:hint="eastAsia" w:ascii="仿宋_GB2312" w:eastAsia="仿宋_GB2312"/>
          <w:sz w:val="28"/>
          <w:szCs w:val="36"/>
          <w:lang w:eastAsia="zh-CN"/>
        </w:rPr>
        <w:t>因此本单位选技</w:t>
      </w:r>
      <w:r>
        <w:rPr>
          <w:rStyle w:val="16"/>
          <w:rFonts w:hint="eastAsia" w:ascii="仿宋" w:hAnsi="仿宋" w:eastAsia="仿宋" w:cs="仿宋"/>
          <w:b w:val="0"/>
          <w:bCs w:val="0"/>
          <w:color w:val="auto"/>
          <w:sz w:val="28"/>
          <w:szCs w:val="36"/>
          <w:highlight w:val="none"/>
        </w:rPr>
        <w:t>综合指数评价法</w:t>
      </w:r>
      <w:r>
        <w:rPr>
          <w:rStyle w:val="16"/>
          <w:rFonts w:hint="eastAsia" w:ascii="仿宋" w:hAnsi="仿宋" w:eastAsia="仿宋" w:cs="仿宋"/>
          <w:b w:val="0"/>
          <w:bCs w:val="0"/>
          <w:color w:val="auto"/>
          <w:sz w:val="28"/>
          <w:szCs w:val="36"/>
          <w:highlight w:val="none"/>
          <w:lang w:eastAsia="zh-CN"/>
        </w:rPr>
        <w:t>。</w:t>
      </w:r>
    </w:p>
    <w:p w14:paraId="041A9C76">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14:paraId="6DB0AE38">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14:paraId="4CB2C744">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14:paraId="5D76130B">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14:paraId="5C814693">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14:paraId="144F53DB">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14:paraId="34D4EC85">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特克斯县总工会</w:t>
      </w:r>
      <w:r>
        <w:rPr>
          <w:rFonts w:hint="eastAsia" w:ascii="仿宋_GB2312" w:eastAsia="仿宋_GB2312"/>
          <w:sz w:val="28"/>
          <w:szCs w:val="36"/>
        </w:rPr>
        <w:t>所有财政资金支出活动。</w:t>
      </w:r>
    </w:p>
    <w:p w14:paraId="7B13C006">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14:paraId="602AB467">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155.72</w:t>
      </w:r>
      <w:r>
        <w:rPr>
          <w:rStyle w:val="16"/>
          <w:rFonts w:hint="eastAsia" w:ascii="仿宋_GB2312" w:hAnsi="楷体" w:eastAsia="仿宋_GB2312"/>
          <w:b w:val="0"/>
          <w:spacing w:val="-4"/>
          <w:sz w:val="28"/>
          <w:szCs w:val="28"/>
        </w:rPr>
        <w:t>万元，其中：工资福利支出、商品和服务支出、对个人和家庭的补助支出。</w:t>
      </w:r>
    </w:p>
    <w:p w14:paraId="633D7148">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14:paraId="1ED0FE76">
      <w:pPr>
        <w:spacing w:line="360" w:lineRule="auto"/>
        <w:ind w:firstLine="544" w:firstLineChars="200"/>
        <w:rPr>
          <w:rStyle w:val="16"/>
          <w:rFonts w:ascii="仿宋_GB2312" w:hAnsi="楷体" w:eastAsia="仿宋_GB2312"/>
          <w:b w:val="0"/>
          <w:spacing w:val="-4"/>
          <w:sz w:val="28"/>
          <w:szCs w:val="28"/>
        </w:rPr>
      </w:pPr>
    </w:p>
    <w:p w14:paraId="179F0970">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14:paraId="2B1F08CE">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14:paraId="1C3E6261">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14:paraId="665C1740">
      <w:pPr>
        <w:spacing w:line="360" w:lineRule="auto"/>
        <w:ind w:firstLine="506" w:firstLineChars="181"/>
        <w:rPr>
          <w:rStyle w:val="16"/>
          <w:rFonts w:hint="eastAsia" w:ascii="仿宋" w:hAnsi="仿宋" w:eastAsia="仿宋" w:cs="仿宋"/>
          <w:b w:val="0"/>
          <w:bCs w:val="0"/>
          <w:color w:val="auto"/>
          <w:spacing w:val="-4"/>
          <w:sz w:val="28"/>
          <w:szCs w:val="28"/>
          <w:lang w:eastAsia="zh-CN"/>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color w:val="auto"/>
          <w:sz w:val="28"/>
          <w:szCs w:val="36"/>
          <w:lang w:eastAsia="zh-CN"/>
        </w:rPr>
        <w:t>上级</w:t>
      </w:r>
      <w:r>
        <w:rPr>
          <w:rFonts w:hint="eastAsia" w:ascii="仿宋_GB2312" w:eastAsia="仿宋_GB2312"/>
          <w:color w:val="auto"/>
          <w:sz w:val="28"/>
          <w:szCs w:val="36"/>
        </w:rPr>
        <w:t>要求，部门预算及绩效目标在</w:t>
      </w:r>
      <w:r>
        <w:rPr>
          <w:rFonts w:hint="eastAsia" w:ascii="仿宋_GB2312" w:eastAsia="仿宋_GB2312"/>
          <w:color w:val="auto"/>
          <w:sz w:val="28"/>
          <w:szCs w:val="36"/>
          <w:lang w:eastAsia="zh-CN"/>
        </w:rPr>
        <w:t>特克斯县公共信息网</w:t>
      </w:r>
      <w:r>
        <w:rPr>
          <w:rFonts w:hint="eastAsia" w:ascii="仿宋_GB2312" w:eastAsia="仿宋_GB2312"/>
          <w:color w:val="auto"/>
          <w:sz w:val="28"/>
          <w:szCs w:val="36"/>
        </w:rPr>
        <w:t>公开，</w:t>
      </w:r>
      <w:r>
        <w:rPr>
          <w:rFonts w:ascii="仿宋_GB2312" w:eastAsia="仿宋_GB2312"/>
          <w:color w:val="auto"/>
          <w:sz w:val="28"/>
          <w:szCs w:val="36"/>
          <w:lang w:val="zh-CN"/>
        </w:rPr>
        <w:t>广泛接受社会监督</w:t>
      </w:r>
      <w:r>
        <w:rPr>
          <w:rFonts w:hint="eastAsia" w:ascii="仿宋_GB2312" w:eastAsia="仿宋_GB2312"/>
          <w:color w:val="auto"/>
          <w:sz w:val="28"/>
          <w:szCs w:val="36"/>
          <w:lang w:val="zh-CN"/>
        </w:rPr>
        <w:t>，</w:t>
      </w:r>
      <w:r>
        <w:rPr>
          <w:rFonts w:hint="eastAsia" w:ascii="仿宋" w:hAnsi="仿宋" w:eastAsia="仿宋" w:cs="仿宋"/>
          <w:b w:val="0"/>
          <w:bCs w:val="0"/>
          <w:color w:val="auto"/>
          <w:sz w:val="28"/>
          <w:szCs w:val="36"/>
          <w:lang w:val="zh-CN"/>
        </w:rPr>
        <w:t>我</w:t>
      </w:r>
      <w:r>
        <w:rPr>
          <w:rStyle w:val="16"/>
          <w:rFonts w:hint="eastAsia" w:ascii="仿宋" w:hAnsi="仿宋" w:eastAsia="仿宋" w:cs="仿宋"/>
          <w:b w:val="0"/>
          <w:bCs w:val="0"/>
          <w:color w:val="auto"/>
          <w:spacing w:val="-4"/>
          <w:sz w:val="28"/>
          <w:szCs w:val="28"/>
        </w:rPr>
        <w:t>单位按照政府信息公开有关规定公开相关预决算信息，用以反映和考核单位预决算管理的公开透明情况</w:t>
      </w:r>
      <w:r>
        <w:rPr>
          <w:rStyle w:val="16"/>
          <w:rFonts w:hint="eastAsia" w:ascii="仿宋" w:hAnsi="仿宋" w:eastAsia="仿宋" w:cs="仿宋"/>
          <w:b w:val="0"/>
          <w:bCs w:val="0"/>
          <w:color w:val="auto"/>
          <w:spacing w:val="-4"/>
          <w:sz w:val="28"/>
          <w:szCs w:val="28"/>
          <w:lang w:eastAsia="zh-CN"/>
        </w:rPr>
        <w:t>。</w:t>
      </w:r>
    </w:p>
    <w:p w14:paraId="48B35403">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14:paraId="0BE6EE62">
      <w:pPr>
        <w:spacing w:line="360" w:lineRule="auto"/>
        <w:ind w:firstLine="560" w:firstLineChars="200"/>
        <w:rPr>
          <w:rStyle w:val="16"/>
          <w:rFonts w:hint="eastAsia" w:ascii="仿宋" w:hAnsi="仿宋" w:eastAsia="仿宋" w:cs="仿宋"/>
          <w:b w:val="0"/>
          <w:bCs w:val="0"/>
          <w:color w:val="auto"/>
          <w:sz w:val="28"/>
          <w:szCs w:val="28"/>
        </w:rPr>
      </w:pPr>
      <w:r>
        <w:rPr>
          <w:rFonts w:hint="eastAsia" w:ascii="仿宋" w:hAnsi="仿宋" w:eastAsia="仿宋" w:cs="仿宋"/>
          <w:color w:val="auto"/>
          <w:sz w:val="28"/>
          <w:szCs w:val="28"/>
        </w:rPr>
        <w:t>我</w:t>
      </w:r>
      <w:r>
        <w:rPr>
          <w:rStyle w:val="16"/>
          <w:rFonts w:hint="eastAsia" w:ascii="仿宋" w:hAnsi="仿宋" w:eastAsia="仿宋" w:cs="仿宋"/>
          <w:b w:val="0"/>
          <w:color w:val="auto"/>
          <w:spacing w:val="-4"/>
          <w:sz w:val="28"/>
          <w:szCs w:val="28"/>
        </w:rPr>
        <w:t>单位</w:t>
      </w:r>
      <w:r>
        <w:rPr>
          <w:rFonts w:hint="eastAsia" w:ascii="仿宋" w:hAnsi="仿宋" w:eastAsia="仿宋" w:cs="仿宋"/>
          <w:color w:val="auto"/>
          <w:sz w:val="28"/>
          <w:szCs w:val="28"/>
        </w:rPr>
        <w:t>按照财政要求基本支出分月度申报资金使用计划，由财政部门按照进度每月按期拨付，人员支出按照工资计划发放工资；依</w:t>
      </w:r>
      <w:r>
        <w:rPr>
          <w:rFonts w:hint="eastAsia" w:ascii="仿宋" w:hAnsi="仿宋" w:eastAsia="仿宋" w:cs="仿宋"/>
          <w:color w:val="auto"/>
          <w:sz w:val="28"/>
          <w:szCs w:val="28"/>
          <w:lang w:eastAsia="zh-CN"/>
        </w:rPr>
        <w:t>照全国总工会</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中国工会财会</w:t>
      </w:r>
      <w:r>
        <w:rPr>
          <w:rFonts w:hint="eastAsia" w:ascii="仿宋" w:hAnsi="仿宋" w:eastAsia="仿宋" w:cs="仿宋"/>
          <w:color w:val="auto"/>
          <w:sz w:val="28"/>
          <w:szCs w:val="28"/>
        </w:rPr>
        <w:t>》相关规定和</w:t>
      </w:r>
      <w:r>
        <w:rPr>
          <w:rFonts w:hint="eastAsia" w:ascii="仿宋" w:hAnsi="仿宋" w:eastAsia="仿宋" w:cs="仿宋"/>
          <w:color w:val="auto"/>
          <w:kern w:val="1"/>
          <w:sz w:val="28"/>
          <w:szCs w:val="28"/>
        </w:rPr>
        <w:t>《会计法》、《预算法》、《行政单位财务规则》</w:t>
      </w:r>
      <w:r>
        <w:rPr>
          <w:rFonts w:hint="eastAsia" w:ascii="仿宋" w:hAnsi="仿宋" w:eastAsia="仿宋" w:cs="仿宋"/>
          <w:color w:val="auto"/>
          <w:sz w:val="28"/>
          <w:szCs w:val="28"/>
        </w:rPr>
        <w:t>规定流程，资金支出按照我内控体系中设定的流程申报审批进行；属于非政府采购的项目，按照“三重一大”制度规定，重大项目支出上党组会研究决定。</w:t>
      </w:r>
    </w:p>
    <w:p w14:paraId="75C37456">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14:paraId="4CAC3EFF">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155.72</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155.72</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155.72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111.68</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41.93</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2.11</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14:paraId="42E1EA02">
      <w:pPr>
        <w:spacing w:line="360" w:lineRule="auto"/>
        <w:ind w:firstLine="492" w:firstLineChars="181"/>
        <w:rPr>
          <w:rStyle w:val="16"/>
          <w:rFonts w:hint="eastAsia" w:ascii="仿宋_GB2312" w:hAnsi="楷体" w:eastAsia="仿宋_GB2312"/>
          <w:b w:val="0"/>
          <w:color w:val="auto"/>
          <w:spacing w:val="-4"/>
          <w:sz w:val="28"/>
          <w:szCs w:val="28"/>
          <w:highlight w:val="none"/>
          <w:lang w:eastAsia="zh-CN"/>
        </w:rPr>
      </w:pPr>
      <w:r>
        <w:rPr>
          <w:rStyle w:val="16"/>
          <w:rFonts w:hint="eastAsia" w:ascii="仿宋_GB2312" w:hAnsi="楷体" w:eastAsia="仿宋_GB2312"/>
          <w:b w:val="0"/>
          <w:color w:val="auto"/>
          <w:spacing w:val="-4"/>
          <w:sz w:val="28"/>
          <w:szCs w:val="28"/>
          <w:highlight w:val="none"/>
        </w:rPr>
        <w:t>2021年基本支出比上年</w:t>
      </w:r>
      <w:r>
        <w:rPr>
          <w:rStyle w:val="16"/>
          <w:rFonts w:hint="eastAsia" w:ascii="仿宋_GB2312" w:hAnsi="楷体" w:eastAsia="仿宋_GB2312" w:cs="Times New Roman"/>
          <w:b w:val="0"/>
          <w:spacing w:val="-4"/>
          <w:sz w:val="28"/>
          <w:szCs w:val="28"/>
          <w:highlight w:val="none"/>
        </w:rPr>
        <w:t>152.04万元,</w:t>
      </w:r>
      <w:r>
        <w:rPr>
          <w:rStyle w:val="16"/>
          <w:rFonts w:hint="eastAsia" w:ascii="仿宋_GB2312" w:hAnsi="楷体" w:eastAsia="仿宋_GB2312"/>
          <w:b w:val="0"/>
          <w:color w:val="auto"/>
          <w:spacing w:val="-4"/>
          <w:sz w:val="28"/>
          <w:szCs w:val="28"/>
          <w:highlight w:val="none"/>
        </w:rPr>
        <w:t>增加</w:t>
      </w:r>
      <w:r>
        <w:rPr>
          <w:rStyle w:val="16"/>
          <w:rFonts w:hint="eastAsia" w:ascii="仿宋_GB2312" w:hAnsi="楷体" w:eastAsia="仿宋_GB2312"/>
          <w:b w:val="0"/>
          <w:color w:val="auto"/>
          <w:spacing w:val="-4"/>
          <w:sz w:val="28"/>
          <w:szCs w:val="28"/>
          <w:highlight w:val="none"/>
          <w:lang w:val="en-US" w:eastAsia="zh-CN"/>
        </w:rPr>
        <w:t>3.68</w:t>
      </w:r>
      <w:r>
        <w:rPr>
          <w:rStyle w:val="16"/>
          <w:rFonts w:hint="eastAsia" w:ascii="仿宋_GB2312" w:hAnsi="楷体" w:eastAsia="仿宋_GB2312"/>
          <w:b w:val="0"/>
          <w:color w:val="auto"/>
          <w:spacing w:val="-4"/>
          <w:sz w:val="28"/>
          <w:szCs w:val="28"/>
          <w:highlight w:val="none"/>
        </w:rPr>
        <w:t>万元，</w:t>
      </w:r>
      <w:r>
        <w:rPr>
          <w:rStyle w:val="16"/>
          <w:rFonts w:hint="eastAsia" w:ascii="仿宋_GB2312" w:hAnsi="楷体" w:eastAsia="仿宋_GB2312"/>
          <w:b w:val="0"/>
          <w:color w:val="auto"/>
          <w:spacing w:val="-4"/>
          <w:sz w:val="28"/>
          <w:szCs w:val="28"/>
          <w:highlight w:val="none"/>
          <w:lang w:eastAsia="zh-CN"/>
        </w:rPr>
        <w:t>增长</w:t>
      </w:r>
      <w:r>
        <w:rPr>
          <w:rStyle w:val="16"/>
          <w:rFonts w:ascii="仿宋_GB2312" w:hAnsi="楷体" w:eastAsia="仿宋_GB2312"/>
          <w:b w:val="0"/>
          <w:color w:val="auto"/>
          <w:spacing w:val="-4"/>
          <w:sz w:val="28"/>
          <w:szCs w:val="28"/>
          <w:highlight w:val="none"/>
        </w:rPr>
        <w:t xml:space="preserve"> </w:t>
      </w:r>
      <w:r>
        <w:rPr>
          <w:rStyle w:val="16"/>
          <w:rFonts w:hint="eastAsia" w:ascii="仿宋_GB2312" w:hAnsi="宋体" w:eastAsia="仿宋_GB2312"/>
          <w:b w:val="0"/>
          <w:bCs w:val="0"/>
          <w:color w:val="auto"/>
          <w:spacing w:val="-4"/>
          <w:sz w:val="28"/>
          <w:szCs w:val="28"/>
          <w:highlight w:val="none"/>
          <w:lang w:val="en-US" w:eastAsia="zh-CN"/>
        </w:rPr>
        <w:t>2.42</w:t>
      </w:r>
      <w:r>
        <w:rPr>
          <w:rStyle w:val="16"/>
          <w:rFonts w:ascii="仿宋_GB2312" w:hAnsi="宋体" w:eastAsia="仿宋_GB2312"/>
          <w:b w:val="0"/>
          <w:bCs w:val="0"/>
          <w:color w:val="auto"/>
          <w:spacing w:val="-4"/>
          <w:sz w:val="28"/>
          <w:szCs w:val="28"/>
          <w:highlight w:val="none"/>
        </w:rPr>
        <w:t>%</w:t>
      </w:r>
      <w:r>
        <w:rPr>
          <w:rStyle w:val="16"/>
          <w:rFonts w:hint="eastAsia" w:ascii="仿宋_GB2312" w:hAnsi="楷体" w:eastAsia="仿宋_GB2312"/>
          <w:b w:val="0"/>
          <w:color w:val="auto"/>
          <w:spacing w:val="-4"/>
          <w:sz w:val="28"/>
          <w:szCs w:val="28"/>
          <w:highlight w:val="none"/>
        </w:rPr>
        <w:t>，支出上升的主要原因是</w:t>
      </w:r>
      <w:r>
        <w:rPr>
          <w:rStyle w:val="16"/>
          <w:rFonts w:hint="eastAsia" w:ascii="仿宋_GB2312" w:hAnsi="楷体" w:eastAsia="仿宋_GB2312"/>
          <w:b w:val="0"/>
          <w:color w:val="auto"/>
          <w:spacing w:val="-4"/>
          <w:sz w:val="28"/>
          <w:szCs w:val="28"/>
          <w:highlight w:val="none"/>
          <w:lang w:eastAsia="zh-CN"/>
        </w:rPr>
        <w:t>政策性上调工资、商品服务支出增加、个人补助减少。</w:t>
      </w:r>
    </w:p>
    <w:p w14:paraId="5835B1E4">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3.2</w:t>
      </w:r>
      <w:r>
        <w:rPr>
          <w:rStyle w:val="16"/>
          <w:rFonts w:hint="eastAsia" w:ascii="仿宋_GB2312" w:hAnsi="楷体" w:eastAsia="仿宋_GB2312"/>
          <w:b w:val="0"/>
          <w:spacing w:val="-4"/>
          <w:sz w:val="28"/>
          <w:szCs w:val="28"/>
        </w:rPr>
        <w:t xml:space="preserve">万元，其中：因公出国（境）费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0.8</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14:paraId="0547D9D8">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主要原因是</w:t>
      </w:r>
      <w:r>
        <w:rPr>
          <w:rStyle w:val="16"/>
          <w:rFonts w:hint="eastAsia" w:ascii="仿宋_GB2312" w:hAnsi="楷体" w:eastAsia="仿宋_GB2312"/>
          <w:b w:val="0"/>
          <w:spacing w:val="-4"/>
          <w:sz w:val="28"/>
          <w:szCs w:val="28"/>
        </w:rPr>
        <w:t>未安排预算；公务用车购置费为0，未安排预算</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公务用车运行费增加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严格按三公经费使用</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严格按三公经费使用</w:t>
      </w:r>
      <w:r>
        <w:rPr>
          <w:rStyle w:val="16"/>
          <w:rFonts w:hint="eastAsia" w:ascii="仿宋_GB2312" w:hAnsi="楷体" w:eastAsia="仿宋_GB2312"/>
          <w:b w:val="0"/>
          <w:spacing w:val="-4"/>
          <w:sz w:val="28"/>
          <w:szCs w:val="28"/>
        </w:rPr>
        <w:t>。</w:t>
      </w:r>
    </w:p>
    <w:p w14:paraId="2BADF185">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14:paraId="50A9C0FB">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14:paraId="29AB4EA3">
      <w:pPr>
        <w:pStyle w:val="5"/>
        <w:spacing w:line="360" w:lineRule="auto"/>
        <w:ind w:firstLine="544" w:firstLineChars="200"/>
        <w:rPr>
          <w:rStyle w:val="16"/>
          <w:rFonts w:hint="eastAsia" w:ascii="仿宋_GB2312" w:hAnsi="楷体" w:eastAsia="仿宋_GB2312"/>
          <w:b w:val="0"/>
          <w:bCs/>
          <w:spacing w:val="-4"/>
          <w:sz w:val="28"/>
          <w:szCs w:val="28"/>
          <w:highlight w:val="none"/>
        </w:rPr>
      </w:pPr>
      <w:bookmarkStart w:id="17" w:name="_Toc70450304"/>
      <w:r>
        <w:rPr>
          <w:rStyle w:val="16"/>
          <w:rFonts w:ascii="仿宋_GB2312" w:hAnsi="楷体" w:eastAsia="仿宋_GB2312"/>
          <w:b w:val="0"/>
          <w:bCs/>
          <w:spacing w:val="-4"/>
          <w:sz w:val="28"/>
          <w:szCs w:val="28"/>
          <w:highlight w:val="none"/>
        </w:rPr>
        <w:t>2021</w:t>
      </w:r>
      <w:r>
        <w:rPr>
          <w:rStyle w:val="16"/>
          <w:rFonts w:hint="eastAsia" w:ascii="仿宋_GB2312" w:hAnsi="楷体" w:eastAsia="仿宋_GB2312"/>
          <w:b w:val="0"/>
          <w:bCs/>
          <w:spacing w:val="-4"/>
          <w:sz w:val="28"/>
          <w:szCs w:val="28"/>
          <w:highlight w:val="none"/>
        </w:rPr>
        <w:t>年预算安排专项资金</w:t>
      </w:r>
      <w:r>
        <w:rPr>
          <w:rStyle w:val="16"/>
          <w:rFonts w:hint="eastAsia" w:ascii="仿宋_GB2312" w:hAnsi="楷体" w:eastAsia="仿宋_GB2312"/>
          <w:b w:val="0"/>
          <w:bCs/>
          <w:spacing w:val="-4"/>
          <w:sz w:val="28"/>
          <w:szCs w:val="28"/>
          <w:highlight w:val="none"/>
          <w:lang w:val="en-US" w:eastAsia="zh-CN"/>
        </w:rPr>
        <w:t>0</w:t>
      </w:r>
      <w:r>
        <w:rPr>
          <w:rStyle w:val="16"/>
          <w:rFonts w:hint="eastAsia" w:ascii="仿宋_GB2312" w:hAnsi="楷体" w:eastAsia="仿宋_GB2312"/>
          <w:b w:val="0"/>
          <w:bCs/>
          <w:spacing w:val="-4"/>
          <w:sz w:val="28"/>
          <w:szCs w:val="28"/>
          <w:highlight w:val="none"/>
        </w:rPr>
        <w:t>万元，实际到位</w:t>
      </w:r>
      <w:r>
        <w:rPr>
          <w:rStyle w:val="16"/>
          <w:rFonts w:hint="eastAsia" w:ascii="仿宋_GB2312" w:hAnsi="楷体" w:eastAsia="仿宋_GB2312"/>
          <w:b w:val="0"/>
          <w:bCs/>
          <w:spacing w:val="-4"/>
          <w:sz w:val="28"/>
          <w:szCs w:val="28"/>
          <w:highlight w:val="none"/>
          <w:lang w:val="en-US" w:eastAsia="zh-CN"/>
        </w:rPr>
        <w:t>0</w:t>
      </w:r>
      <w:r>
        <w:rPr>
          <w:rStyle w:val="16"/>
          <w:rFonts w:hint="eastAsia" w:ascii="仿宋_GB2312" w:hAnsi="楷体" w:eastAsia="仿宋_GB2312"/>
          <w:b w:val="0"/>
          <w:bCs/>
          <w:spacing w:val="-4"/>
          <w:sz w:val="28"/>
          <w:szCs w:val="28"/>
          <w:highlight w:val="none"/>
        </w:rPr>
        <w:t>万元,</w:t>
      </w:r>
      <w:r>
        <w:rPr>
          <w:rFonts w:hint="eastAsia"/>
          <w:highlight w:val="none"/>
        </w:rPr>
        <w:t xml:space="preserve"> </w:t>
      </w:r>
      <w:r>
        <w:rPr>
          <w:rStyle w:val="16"/>
          <w:rFonts w:hint="eastAsia" w:ascii="仿宋_GB2312" w:hAnsi="楷体" w:eastAsia="仿宋_GB2312"/>
          <w:b w:val="0"/>
          <w:bCs/>
          <w:spacing w:val="-4"/>
          <w:sz w:val="28"/>
          <w:szCs w:val="28"/>
          <w:highlight w:val="none"/>
        </w:rPr>
        <w:t>到位率</w:t>
      </w:r>
      <w:r>
        <w:rPr>
          <w:rStyle w:val="16"/>
          <w:rFonts w:hint="eastAsia" w:ascii="仿宋_GB2312" w:hAnsi="楷体" w:eastAsia="仿宋_GB2312"/>
          <w:b w:val="0"/>
          <w:bCs/>
          <w:spacing w:val="-4"/>
          <w:sz w:val="28"/>
          <w:szCs w:val="28"/>
          <w:highlight w:val="none"/>
          <w:lang w:val="en-US" w:eastAsia="zh-CN"/>
        </w:rPr>
        <w:t>0</w:t>
      </w:r>
      <w:r>
        <w:rPr>
          <w:rStyle w:val="16"/>
          <w:rFonts w:hint="eastAsia" w:ascii="仿宋_GB2312" w:hAnsi="楷体" w:eastAsia="仿宋_GB2312"/>
          <w:b w:val="0"/>
          <w:bCs/>
          <w:spacing w:val="-4"/>
          <w:sz w:val="28"/>
          <w:szCs w:val="28"/>
          <w:highlight w:val="none"/>
        </w:rPr>
        <w:t>％,其中:中央转移支付项目资金</w:t>
      </w:r>
      <w:r>
        <w:rPr>
          <w:rStyle w:val="16"/>
          <w:rFonts w:hint="eastAsia" w:ascii="仿宋_GB2312" w:hAnsi="楷体" w:eastAsia="仿宋_GB2312"/>
          <w:b w:val="0"/>
          <w:bCs/>
          <w:spacing w:val="-4"/>
          <w:sz w:val="28"/>
          <w:szCs w:val="28"/>
          <w:highlight w:val="none"/>
          <w:lang w:val="en-US" w:eastAsia="zh-CN"/>
        </w:rPr>
        <w:t>0</w:t>
      </w:r>
      <w:r>
        <w:rPr>
          <w:rStyle w:val="16"/>
          <w:rFonts w:hint="eastAsia" w:ascii="仿宋_GB2312" w:hAnsi="楷体" w:eastAsia="仿宋_GB2312"/>
          <w:b w:val="0"/>
          <w:bCs/>
          <w:spacing w:val="-4"/>
          <w:sz w:val="28"/>
          <w:szCs w:val="28"/>
          <w:highlight w:val="none"/>
        </w:rPr>
        <w:t>万元，自治区资金</w:t>
      </w:r>
      <w:r>
        <w:rPr>
          <w:rStyle w:val="16"/>
          <w:rFonts w:hint="eastAsia" w:ascii="仿宋_GB2312" w:hAnsi="楷体" w:eastAsia="仿宋_GB2312"/>
          <w:b w:val="0"/>
          <w:bCs/>
          <w:spacing w:val="-4"/>
          <w:sz w:val="28"/>
          <w:szCs w:val="28"/>
          <w:highlight w:val="none"/>
          <w:lang w:val="en-US" w:eastAsia="zh-CN"/>
        </w:rPr>
        <w:t>0</w:t>
      </w:r>
      <w:r>
        <w:rPr>
          <w:rStyle w:val="16"/>
          <w:rFonts w:hint="eastAsia" w:ascii="仿宋_GB2312" w:hAnsi="楷体" w:eastAsia="仿宋_GB2312"/>
          <w:b w:val="0"/>
          <w:bCs/>
          <w:spacing w:val="-4"/>
          <w:sz w:val="28"/>
          <w:szCs w:val="28"/>
          <w:highlight w:val="none"/>
        </w:rPr>
        <w:t>万元，本级安排</w:t>
      </w:r>
      <w:r>
        <w:rPr>
          <w:rStyle w:val="16"/>
          <w:rFonts w:hint="eastAsia" w:ascii="仿宋_GB2312" w:hAnsi="楷体" w:eastAsia="仿宋_GB2312"/>
          <w:b w:val="0"/>
          <w:bCs/>
          <w:spacing w:val="-4"/>
          <w:sz w:val="28"/>
          <w:szCs w:val="28"/>
          <w:highlight w:val="none"/>
          <w:lang w:val="en-US" w:eastAsia="zh-CN"/>
        </w:rPr>
        <w:t>0</w:t>
      </w:r>
      <w:r>
        <w:rPr>
          <w:rStyle w:val="16"/>
          <w:rFonts w:ascii="仿宋_GB2312" w:hAnsi="楷体" w:eastAsia="仿宋_GB2312"/>
          <w:b w:val="0"/>
          <w:bCs/>
          <w:spacing w:val="-4"/>
          <w:sz w:val="28"/>
          <w:szCs w:val="28"/>
          <w:highlight w:val="none"/>
        </w:rPr>
        <w:t xml:space="preserve"> </w:t>
      </w:r>
      <w:r>
        <w:rPr>
          <w:rStyle w:val="16"/>
          <w:rFonts w:hint="eastAsia" w:ascii="仿宋_GB2312" w:hAnsi="楷体" w:eastAsia="仿宋_GB2312"/>
          <w:b w:val="0"/>
          <w:bCs/>
          <w:spacing w:val="-4"/>
          <w:sz w:val="28"/>
          <w:szCs w:val="28"/>
          <w:highlight w:val="none"/>
        </w:rPr>
        <w:t>万元</w:t>
      </w:r>
    </w:p>
    <w:p w14:paraId="044FD42C">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2、专项资金实际使用情况</w:t>
      </w:r>
      <w:bookmarkEnd w:id="17"/>
    </w:p>
    <w:p w14:paraId="79EFD18F">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2021年专项资金支出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%，其中2021年专项项目支出比上年</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万元增加</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%。主要原因是</w:t>
      </w:r>
      <w:r>
        <w:rPr>
          <w:rStyle w:val="16"/>
          <w:rFonts w:hint="eastAsia" w:ascii="仿宋_GB2312" w:hAnsi="楷体" w:eastAsia="仿宋_GB2312"/>
          <w:b w:val="0"/>
          <w:spacing w:val="-4"/>
          <w:sz w:val="28"/>
          <w:szCs w:val="28"/>
          <w:highlight w:val="none"/>
          <w:lang w:eastAsia="zh-CN"/>
        </w:rPr>
        <w:t>无专项资金</w:t>
      </w:r>
      <w:r>
        <w:rPr>
          <w:rStyle w:val="16"/>
          <w:rFonts w:hint="eastAsia" w:ascii="仿宋_GB2312" w:hAnsi="楷体" w:eastAsia="仿宋_GB2312"/>
          <w:b w:val="0"/>
          <w:spacing w:val="-4"/>
          <w:sz w:val="28"/>
          <w:szCs w:val="28"/>
          <w:highlight w:val="none"/>
        </w:rPr>
        <w:t>。</w:t>
      </w:r>
    </w:p>
    <w:p w14:paraId="54090F85">
      <w:pPr>
        <w:pStyle w:val="5"/>
        <w:numPr>
          <w:ilvl w:val="0"/>
          <w:numId w:val="2"/>
        </w:numPr>
        <w:spacing w:line="360" w:lineRule="auto"/>
        <w:ind w:firstLine="562" w:firstLineChars="200"/>
        <w:rPr>
          <w:rStyle w:val="16"/>
          <w:rFonts w:hint="eastAsia" w:ascii="仿宋" w:hAnsi="仿宋" w:eastAsia="仿宋"/>
          <w:b/>
          <w:bCs/>
        </w:rPr>
      </w:pPr>
      <w:bookmarkStart w:id="18" w:name="_Toc70450305"/>
      <w:r>
        <w:rPr>
          <w:rStyle w:val="16"/>
          <w:rFonts w:hint="eastAsia" w:ascii="仿宋" w:hAnsi="仿宋" w:eastAsia="仿宋"/>
          <w:b/>
          <w:bCs/>
        </w:rPr>
        <w:t>专项资金管理情况</w:t>
      </w:r>
      <w:bookmarkEnd w:id="18"/>
    </w:p>
    <w:p w14:paraId="3379D07F">
      <w:pPr>
        <w:spacing w:line="360" w:lineRule="auto"/>
        <w:ind w:firstLine="492" w:firstLineChars="181"/>
        <w:rPr>
          <w:rStyle w:val="16"/>
          <w:rFonts w:ascii="仿宋_GB2312" w:hAnsi="楷体" w:eastAsia="仿宋_GB2312"/>
          <w:b w:val="0"/>
          <w:spacing w:val="-4"/>
          <w:sz w:val="28"/>
          <w:szCs w:val="28"/>
          <w:highlight w:val="none"/>
        </w:rPr>
      </w:pPr>
      <w:bookmarkStart w:id="19" w:name="_Toc70450306"/>
      <w:r>
        <w:rPr>
          <w:rStyle w:val="16"/>
          <w:rFonts w:hint="eastAsia" w:ascii="仿宋_GB2312" w:hAnsi="楷体" w:eastAsia="仿宋_GB2312"/>
          <w:b w:val="0"/>
          <w:spacing w:val="-4"/>
          <w:sz w:val="28"/>
          <w:szCs w:val="28"/>
          <w:highlight w:val="none"/>
        </w:rPr>
        <w:t>为规范专项资金使用，提高专项资金使用效益，我部门</w:t>
      </w:r>
      <w:r>
        <w:rPr>
          <w:rStyle w:val="16"/>
          <w:rFonts w:hint="eastAsia" w:ascii="仿宋_GB2312" w:hAnsi="楷体" w:eastAsia="仿宋_GB2312"/>
          <w:b w:val="0"/>
          <w:color w:val="FF0000"/>
          <w:spacing w:val="-4"/>
          <w:sz w:val="28"/>
          <w:szCs w:val="28"/>
          <w:highlight w:val="none"/>
        </w:rPr>
        <w:t>（单位）</w:t>
      </w:r>
      <w:r>
        <w:rPr>
          <w:rStyle w:val="16"/>
          <w:rFonts w:hint="eastAsia" w:ascii="仿宋_GB2312" w:hAnsi="楷体" w:eastAsia="仿宋_GB2312"/>
          <w:b w:val="0"/>
          <w:spacing w:val="-4"/>
          <w:sz w:val="28"/>
          <w:szCs w:val="28"/>
          <w:highlight w:val="none"/>
        </w:rPr>
        <w:t>主要采取四项措施。</w:t>
      </w:r>
    </w:p>
    <w:p w14:paraId="7430E104">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14:paraId="760D7277">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w:t>
      </w:r>
      <w:r>
        <w:rPr>
          <w:rFonts w:hint="eastAsia" w:ascii="仿宋_GB2312" w:eastAsia="仿宋_GB2312"/>
          <w:sz w:val="28"/>
          <w:szCs w:val="36"/>
          <w:highlight w:val="none"/>
        </w:rPr>
        <w:t>《</w:t>
      </w:r>
      <w:r>
        <w:rPr>
          <w:rFonts w:hint="eastAsia" w:ascii="仿宋_GB2312" w:eastAsia="仿宋_GB2312"/>
          <w:sz w:val="28"/>
          <w:szCs w:val="36"/>
          <w:highlight w:val="none"/>
          <w:lang w:val="en-US" w:eastAsia="zh-CN"/>
        </w:rPr>
        <w:t>特克斯县总工会收入支出财务制度</w:t>
      </w:r>
      <w:r>
        <w:rPr>
          <w:rFonts w:hint="eastAsia" w:ascii="仿宋_GB2312" w:eastAsia="仿宋_GB2312"/>
          <w:sz w:val="28"/>
          <w:szCs w:val="36"/>
          <w:highlight w:val="none"/>
        </w:rPr>
        <w:t>》</w:t>
      </w:r>
      <w:r>
        <w:rPr>
          <w:rStyle w:val="16"/>
          <w:rFonts w:hint="eastAsia" w:ascii="仿宋_GB2312" w:hAnsi="楷体" w:eastAsia="仿宋_GB2312"/>
          <w:b w:val="0"/>
          <w:spacing w:val="-4"/>
          <w:sz w:val="28"/>
          <w:szCs w:val="28"/>
          <w:highlight w:val="none"/>
        </w:rPr>
        <w:t>》各项资金使用审批流程均按规定办理。涉及“三重一大”内容，严格按照规定提请局党组会审议决定，包括项目资金分配、重大项目确定、大额资金支付等。</w:t>
      </w:r>
    </w:p>
    <w:p w14:paraId="511CE6B9">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w:t>
      </w:r>
      <w:r>
        <w:rPr>
          <w:rStyle w:val="16"/>
          <w:rFonts w:hint="eastAsia" w:ascii="仿宋_GB2312" w:hAnsi="楷体" w:eastAsia="仿宋_GB2312"/>
          <w:b w:val="0"/>
          <w:spacing w:val="-4"/>
          <w:sz w:val="28"/>
          <w:szCs w:val="28"/>
          <w:highlight w:val="none"/>
          <w:lang w:val="en-US" w:eastAsia="zh-CN"/>
        </w:rPr>
        <w:t>特克斯县</w:t>
      </w:r>
      <w:r>
        <w:rPr>
          <w:rFonts w:hint="eastAsia" w:ascii="仿宋_GB2312" w:eastAsia="仿宋_GB2312"/>
          <w:sz w:val="28"/>
          <w:szCs w:val="36"/>
          <w:highlight w:val="none"/>
          <w:lang w:val="en-US" w:eastAsia="zh-CN"/>
        </w:rPr>
        <w:t>特克斯县总工会</w:t>
      </w:r>
      <w:r>
        <w:rPr>
          <w:rStyle w:val="16"/>
          <w:rFonts w:hint="eastAsia" w:ascii="仿宋_GB2312" w:hAnsi="楷体" w:eastAsia="仿宋_GB2312"/>
          <w:b w:val="0"/>
          <w:spacing w:val="-4"/>
          <w:sz w:val="28"/>
          <w:szCs w:val="28"/>
          <w:highlight w:val="none"/>
          <w:lang w:val="en-US" w:eastAsia="zh-CN"/>
        </w:rPr>
        <w:t>项目</w:t>
      </w:r>
      <w:r>
        <w:rPr>
          <w:rStyle w:val="16"/>
          <w:rFonts w:hint="eastAsia" w:ascii="仿宋_GB2312" w:hAnsi="楷体" w:eastAsia="仿宋_GB2312"/>
          <w:b w:val="0"/>
          <w:spacing w:val="-4"/>
          <w:sz w:val="28"/>
          <w:szCs w:val="28"/>
          <w:highlight w:val="none"/>
        </w:rPr>
        <w:t>专项资金专帐，做到有据可依，有据可查。</w:t>
      </w:r>
    </w:p>
    <w:p w14:paraId="2A774E6C">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w:t>
      </w:r>
      <w:r>
        <w:rPr>
          <w:rStyle w:val="16"/>
          <w:rFonts w:hint="eastAsia" w:ascii="仿宋_GB2312" w:hAnsi="楷体" w:eastAsia="仿宋_GB2312"/>
          <w:b w:val="0"/>
          <w:spacing w:val="-4"/>
          <w:sz w:val="28"/>
          <w:szCs w:val="28"/>
          <w:highlight w:val="none"/>
          <w:lang w:val="en-US" w:eastAsia="zh-CN"/>
        </w:rPr>
        <w:t>特克斯县</w:t>
      </w:r>
      <w:r>
        <w:rPr>
          <w:rFonts w:hint="eastAsia" w:ascii="仿宋_GB2312" w:eastAsia="仿宋_GB2312"/>
          <w:sz w:val="28"/>
          <w:szCs w:val="36"/>
          <w:highlight w:val="none"/>
          <w:lang w:val="en-US" w:eastAsia="zh-CN"/>
        </w:rPr>
        <w:t>特克斯县总工会</w:t>
      </w:r>
      <w:r>
        <w:rPr>
          <w:rStyle w:val="16"/>
          <w:rFonts w:hint="eastAsia" w:ascii="仿宋_GB2312" w:hAnsi="楷体" w:eastAsia="仿宋_GB2312"/>
          <w:b w:val="0"/>
          <w:spacing w:val="-4"/>
          <w:sz w:val="28"/>
          <w:szCs w:val="28"/>
          <w:highlight w:val="none"/>
        </w:rPr>
        <w:t>项目实施方案，确保项目</w:t>
      </w:r>
      <w:r>
        <w:rPr>
          <w:rStyle w:val="16"/>
          <w:rFonts w:hint="eastAsia" w:ascii="仿宋_GB2312" w:hAnsi="楷体" w:eastAsia="仿宋_GB2312"/>
          <w:b w:val="0"/>
          <w:spacing w:val="-4"/>
          <w:sz w:val="28"/>
          <w:szCs w:val="28"/>
          <w:highlight w:val="none"/>
          <w:lang w:val="en-US" w:eastAsia="zh-CN"/>
        </w:rPr>
        <w:t>按照规章制度执行</w:t>
      </w:r>
      <w:r>
        <w:rPr>
          <w:rStyle w:val="16"/>
          <w:rFonts w:hint="eastAsia" w:ascii="仿宋_GB2312" w:hAnsi="楷体" w:eastAsia="仿宋_GB2312"/>
          <w:b w:val="0"/>
          <w:spacing w:val="-4"/>
          <w:sz w:val="28"/>
          <w:szCs w:val="28"/>
          <w:highlight w:val="none"/>
        </w:rPr>
        <w:t>。</w:t>
      </w:r>
    </w:p>
    <w:p w14:paraId="4D660399">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w:t>
      </w:r>
      <w:r>
        <w:rPr>
          <w:rStyle w:val="16"/>
          <w:rFonts w:hint="eastAsia" w:ascii="仿宋_GB2312" w:hAnsi="楷体" w:eastAsia="仿宋_GB2312"/>
          <w:b w:val="0"/>
          <w:spacing w:val="-4"/>
          <w:sz w:val="28"/>
          <w:szCs w:val="28"/>
          <w:highlight w:val="none"/>
          <w:lang w:val="en-US" w:eastAsia="zh-CN"/>
        </w:rPr>
        <w:t>特克斯县</w:t>
      </w:r>
      <w:r>
        <w:rPr>
          <w:rFonts w:hint="eastAsia" w:ascii="仿宋_GB2312" w:eastAsia="仿宋_GB2312"/>
          <w:sz w:val="28"/>
          <w:szCs w:val="36"/>
          <w:highlight w:val="none"/>
          <w:lang w:val="en-US" w:eastAsia="zh-CN"/>
        </w:rPr>
        <w:t>特克斯县总工会</w:t>
      </w:r>
      <w:r>
        <w:rPr>
          <w:rStyle w:val="16"/>
          <w:rFonts w:hint="eastAsia" w:ascii="仿宋_GB2312" w:hAnsi="楷体" w:eastAsia="仿宋_GB2312"/>
          <w:b w:val="0"/>
          <w:spacing w:val="-4"/>
          <w:sz w:val="28"/>
          <w:szCs w:val="28"/>
          <w:highlight w:val="none"/>
        </w:rPr>
        <w:t>项目验收，确保</w:t>
      </w:r>
      <w:r>
        <w:rPr>
          <w:rStyle w:val="16"/>
          <w:rFonts w:hint="eastAsia" w:ascii="仿宋_GB2312" w:hAnsi="楷体" w:eastAsia="仿宋_GB2312"/>
          <w:b w:val="0"/>
          <w:spacing w:val="-4"/>
          <w:sz w:val="28"/>
          <w:szCs w:val="28"/>
          <w:highlight w:val="none"/>
          <w:lang w:val="en-US" w:eastAsia="zh-CN"/>
        </w:rPr>
        <w:t>所有项目按时按照要求验收</w:t>
      </w:r>
      <w:r>
        <w:rPr>
          <w:rStyle w:val="16"/>
          <w:rFonts w:hint="eastAsia" w:ascii="仿宋_GB2312" w:hAnsi="楷体" w:eastAsia="仿宋_GB2312"/>
          <w:b w:val="0"/>
          <w:spacing w:val="-4"/>
          <w:sz w:val="28"/>
          <w:szCs w:val="28"/>
          <w:highlight w:val="none"/>
        </w:rPr>
        <w:t>。</w:t>
      </w:r>
    </w:p>
    <w:p w14:paraId="05A4AD3C">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专项资金涉及政府采购项目的，按照局《新疆维吾尔自治区2021-2022年度政府采购集中目录及标准》组织人员制定采购计划，按照财政局采购部门批复，进行公开招标、邀请招标等方式进行。</w:t>
      </w:r>
    </w:p>
    <w:p w14:paraId="18D3F58C">
      <w:pPr>
        <w:pStyle w:val="3"/>
        <w:spacing w:line="360" w:lineRule="auto"/>
        <w:rPr>
          <w:rFonts w:ascii="仿宋" w:hAnsi="仿宋" w:eastAsia="仿宋"/>
          <w:sz w:val="36"/>
          <w:szCs w:val="36"/>
          <w:lang w:bidi="ar"/>
        </w:rPr>
      </w:pPr>
      <w:r>
        <w:rPr>
          <w:rFonts w:hint="eastAsia" w:ascii="仿宋" w:hAnsi="仿宋" w:eastAsia="仿宋"/>
          <w:sz w:val="36"/>
          <w:szCs w:val="36"/>
          <w:lang w:bidi="ar"/>
        </w:rPr>
        <w:t>三、部门单位专项组织实施情况</w:t>
      </w:r>
      <w:bookmarkEnd w:id="19"/>
    </w:p>
    <w:p w14:paraId="3BC8194D">
      <w:pPr>
        <w:ind w:firstLine="272" w:firstLineChars="100"/>
        <w:rPr>
          <w:rStyle w:val="16"/>
          <w:rFonts w:asciiTheme="minorEastAsia" w:hAnsiTheme="minorEastAsia"/>
          <w:b w:val="0"/>
          <w:bCs w:val="0"/>
          <w:color w:val="auto"/>
          <w:spacing w:val="-4"/>
          <w:sz w:val="28"/>
          <w:szCs w:val="28"/>
        </w:rPr>
      </w:pPr>
      <w:r>
        <w:rPr>
          <w:rStyle w:val="16"/>
          <w:rFonts w:hint="eastAsia" w:asciiTheme="minorEastAsia" w:hAnsiTheme="minorEastAsia"/>
          <w:b w:val="0"/>
          <w:bCs w:val="0"/>
          <w:color w:val="auto"/>
          <w:spacing w:val="-4"/>
          <w:sz w:val="28"/>
          <w:szCs w:val="28"/>
        </w:rPr>
        <w:t>本单位2021年度未安排项目支出预算</w:t>
      </w:r>
    </w:p>
    <w:p w14:paraId="18DD310A">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14:paraId="5208A6DA">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14:paraId="36DAE519">
      <w:pPr>
        <w:spacing w:line="360" w:lineRule="auto"/>
        <w:ind w:firstLine="544" w:firstLineChars="200"/>
        <w:rPr>
          <w:rStyle w:val="16"/>
          <w:rFonts w:ascii="仿宋_GB2312" w:hAnsi="宋体" w:eastAsia="仿宋_GB2312"/>
          <w:b w:val="0"/>
          <w:bCs w:val="0"/>
          <w:spacing w:val="-4"/>
          <w:sz w:val="28"/>
          <w:szCs w:val="28"/>
          <w:highlight w:val="none"/>
        </w:rPr>
      </w:pPr>
      <w:bookmarkStart w:id="22" w:name="_Toc70450312"/>
      <w:r>
        <w:rPr>
          <w:rStyle w:val="16"/>
          <w:rFonts w:hint="eastAsia" w:ascii="仿宋_GB2312" w:hAnsi="宋体" w:eastAsia="仿宋_GB2312"/>
          <w:b w:val="0"/>
          <w:bCs w:val="0"/>
          <w:spacing w:val="-4"/>
          <w:sz w:val="28"/>
          <w:szCs w:val="28"/>
          <w:highlight w:val="none"/>
        </w:rPr>
        <w:t>202</w:t>
      </w:r>
      <w:r>
        <w:rPr>
          <w:rStyle w:val="16"/>
          <w:rFonts w:hint="eastAsia" w:ascii="仿宋_GB2312" w:hAnsi="宋体" w:eastAsia="仿宋_GB2312"/>
          <w:b w:val="0"/>
          <w:bCs w:val="0"/>
          <w:spacing w:val="-4"/>
          <w:sz w:val="28"/>
          <w:szCs w:val="28"/>
          <w:highlight w:val="none"/>
          <w:lang w:val="en-US" w:eastAsia="zh-CN"/>
        </w:rPr>
        <w:t>1</w:t>
      </w:r>
      <w:r>
        <w:rPr>
          <w:rStyle w:val="16"/>
          <w:rFonts w:hint="eastAsia" w:ascii="仿宋_GB2312" w:hAnsi="宋体" w:eastAsia="仿宋_GB2312"/>
          <w:b w:val="0"/>
          <w:bCs w:val="0"/>
          <w:spacing w:val="-4"/>
          <w:sz w:val="28"/>
          <w:szCs w:val="28"/>
          <w:highlight w:val="none"/>
        </w:rPr>
        <w:t>年我</w:t>
      </w:r>
      <w:r>
        <w:rPr>
          <w:rStyle w:val="16"/>
          <w:rFonts w:hint="eastAsia" w:ascii="仿宋_GB2312" w:hAnsi="宋体" w:eastAsia="仿宋_GB2312" w:cs="Times New Roman"/>
          <w:b w:val="0"/>
          <w:bCs w:val="0"/>
          <w:spacing w:val="-4"/>
          <w:sz w:val="28"/>
          <w:szCs w:val="28"/>
          <w:highlight w:val="none"/>
          <w:lang w:val="en-US" w:eastAsia="zh-CN"/>
        </w:rPr>
        <w:t>单位</w:t>
      </w:r>
      <w:r>
        <w:rPr>
          <w:rStyle w:val="16"/>
          <w:rFonts w:hint="eastAsia" w:ascii="仿宋_GB2312" w:hAnsi="宋体" w:eastAsia="仿宋_GB2312"/>
          <w:b w:val="0"/>
          <w:bCs w:val="0"/>
          <w:spacing w:val="-4"/>
          <w:sz w:val="28"/>
          <w:szCs w:val="28"/>
          <w:highlight w:val="none"/>
        </w:rPr>
        <w:t>资产总额</w:t>
      </w:r>
      <w:r>
        <w:rPr>
          <w:rStyle w:val="16"/>
          <w:rFonts w:hint="eastAsia" w:ascii="仿宋_GB2312" w:hAnsi="宋体" w:eastAsia="仿宋_GB2312"/>
          <w:b w:val="0"/>
          <w:bCs w:val="0"/>
          <w:spacing w:val="-4"/>
          <w:sz w:val="28"/>
          <w:szCs w:val="28"/>
          <w:highlight w:val="none"/>
          <w:lang w:val="en-US" w:eastAsia="zh-CN"/>
        </w:rPr>
        <w:t>48.49</w:t>
      </w:r>
      <w:r>
        <w:rPr>
          <w:rStyle w:val="16"/>
          <w:rFonts w:hint="eastAsia" w:ascii="仿宋_GB2312" w:hAnsi="宋体" w:eastAsia="仿宋_GB2312"/>
          <w:b w:val="0"/>
          <w:bCs w:val="0"/>
          <w:spacing w:val="-4"/>
          <w:sz w:val="28"/>
          <w:szCs w:val="28"/>
          <w:highlight w:val="none"/>
        </w:rPr>
        <w:t>万元，其中流动资产</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万元（其中</w:t>
      </w:r>
      <w:r>
        <w:rPr>
          <w:rStyle w:val="16"/>
          <w:rFonts w:hint="eastAsia" w:ascii="仿宋_GB2312" w:hAnsi="宋体" w:eastAsia="仿宋_GB2312"/>
          <w:b w:val="0"/>
          <w:bCs w:val="0"/>
          <w:spacing w:val="-4"/>
          <w:sz w:val="28"/>
          <w:szCs w:val="28"/>
          <w:highlight w:val="none"/>
          <w:lang w:eastAsia="zh-CN"/>
        </w:rPr>
        <w:t>库存现金</w:t>
      </w:r>
      <w:r>
        <w:rPr>
          <w:rStyle w:val="16"/>
          <w:rFonts w:hint="eastAsia" w:ascii="仿宋_GB2312" w:hAnsi="宋体" w:eastAsia="仿宋_GB2312"/>
          <w:b w:val="0"/>
          <w:bCs w:val="0"/>
          <w:spacing w:val="-4"/>
          <w:sz w:val="28"/>
          <w:szCs w:val="28"/>
          <w:highlight w:val="none"/>
          <w:lang w:val="en-US" w:eastAsia="zh-CN"/>
        </w:rPr>
        <w:t>0万元；其他应收款0万元</w:t>
      </w:r>
      <w:r>
        <w:rPr>
          <w:rStyle w:val="16"/>
          <w:rFonts w:hint="eastAsia" w:ascii="仿宋_GB2312" w:hAnsi="宋体" w:eastAsia="仿宋_GB2312"/>
          <w:b w:val="0"/>
          <w:bCs w:val="0"/>
          <w:spacing w:val="-4"/>
          <w:sz w:val="28"/>
          <w:szCs w:val="28"/>
          <w:highlight w:val="none"/>
        </w:rPr>
        <w:t>），固定资产净值</w:t>
      </w:r>
      <w:r>
        <w:rPr>
          <w:rStyle w:val="16"/>
          <w:rFonts w:hint="eastAsia" w:ascii="仿宋_GB2312" w:hAnsi="宋体" w:eastAsia="仿宋_GB2312"/>
          <w:b w:val="0"/>
          <w:bCs w:val="0"/>
          <w:spacing w:val="-4"/>
          <w:sz w:val="28"/>
          <w:szCs w:val="28"/>
          <w:highlight w:val="none"/>
          <w:lang w:val="en-US" w:eastAsia="zh-CN"/>
        </w:rPr>
        <w:t>48.49</w:t>
      </w:r>
      <w:r>
        <w:rPr>
          <w:rStyle w:val="16"/>
          <w:rFonts w:hint="eastAsia" w:ascii="仿宋_GB2312" w:hAnsi="宋体" w:eastAsia="仿宋_GB2312"/>
          <w:b w:val="0"/>
          <w:bCs w:val="0"/>
          <w:spacing w:val="-4"/>
          <w:sz w:val="28"/>
          <w:szCs w:val="28"/>
          <w:highlight w:val="none"/>
        </w:rPr>
        <w:t>万元（其中：土地、房屋及构筑物</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100</w:t>
      </w:r>
      <w:r>
        <w:rPr>
          <w:rStyle w:val="16"/>
          <w:rFonts w:hint="eastAsia" w:ascii="仿宋_GB2312" w:hAnsi="宋体" w:eastAsia="仿宋_GB2312"/>
          <w:b w:val="0"/>
          <w:bCs w:val="0"/>
          <w:spacing w:val="-4"/>
          <w:sz w:val="28"/>
          <w:szCs w:val="28"/>
          <w:highlight w:val="none"/>
        </w:rPr>
        <w:t>%；通用设备</w:t>
      </w:r>
      <w:r>
        <w:rPr>
          <w:rStyle w:val="16"/>
          <w:rFonts w:hint="eastAsia" w:ascii="仿宋_GB2312" w:hAnsi="宋体" w:eastAsia="仿宋_GB2312"/>
          <w:b w:val="0"/>
          <w:bCs w:val="0"/>
          <w:spacing w:val="-4"/>
          <w:sz w:val="28"/>
          <w:szCs w:val="28"/>
          <w:highlight w:val="none"/>
          <w:lang w:val="en-US" w:eastAsia="zh-CN"/>
        </w:rPr>
        <w:t>48.49</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100</w:t>
      </w:r>
      <w:r>
        <w:rPr>
          <w:rStyle w:val="16"/>
          <w:rFonts w:hint="eastAsia" w:ascii="仿宋_GB2312" w:hAnsi="宋体" w:eastAsia="仿宋_GB2312"/>
          <w:b w:val="0"/>
          <w:bCs w:val="0"/>
          <w:spacing w:val="-4"/>
          <w:sz w:val="28"/>
          <w:szCs w:val="28"/>
          <w:highlight w:val="none"/>
        </w:rPr>
        <w:t>%；专用设备</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万元，占固定资产净值的</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w:t>
      </w:r>
    </w:p>
    <w:p w14:paraId="0CCD380A">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本年度流动资产</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万元，比上年</w:t>
      </w:r>
      <w:r>
        <w:rPr>
          <w:rStyle w:val="16"/>
          <w:rFonts w:hint="eastAsia" w:ascii="仿宋_GB2312" w:hAnsi="宋体" w:eastAsia="仿宋_GB2312"/>
          <w:b w:val="0"/>
          <w:bCs w:val="0"/>
          <w:spacing w:val="-4"/>
          <w:sz w:val="28"/>
          <w:szCs w:val="28"/>
          <w:highlight w:val="none"/>
          <w:lang w:eastAsia="zh-CN"/>
        </w:rPr>
        <w:t>增加</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eastAsia="zh-CN"/>
        </w:rPr>
        <w:t>年底应支出的未来的及支出</w:t>
      </w:r>
      <w:r>
        <w:rPr>
          <w:rStyle w:val="16"/>
          <w:rFonts w:hint="eastAsia" w:ascii="仿宋_GB2312" w:hAnsi="宋体" w:eastAsia="仿宋_GB2312"/>
          <w:b w:val="0"/>
          <w:bCs w:val="0"/>
          <w:spacing w:val="-4"/>
          <w:sz w:val="28"/>
          <w:szCs w:val="28"/>
          <w:highlight w:val="none"/>
        </w:rPr>
        <w:t>。</w:t>
      </w:r>
    </w:p>
    <w:p w14:paraId="205C5F93">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本年度固定资产</w:t>
      </w:r>
      <w:r>
        <w:rPr>
          <w:rStyle w:val="16"/>
          <w:rFonts w:hint="eastAsia" w:ascii="仿宋_GB2312" w:hAnsi="宋体" w:eastAsia="仿宋_GB2312"/>
          <w:b w:val="0"/>
          <w:bCs w:val="0"/>
          <w:spacing w:val="-4"/>
          <w:sz w:val="28"/>
          <w:szCs w:val="28"/>
          <w:highlight w:val="none"/>
          <w:lang w:val="en-US" w:eastAsia="zh-CN"/>
        </w:rPr>
        <w:t>48.49</w:t>
      </w:r>
      <w:r>
        <w:rPr>
          <w:rStyle w:val="16"/>
          <w:rFonts w:hint="eastAsia" w:ascii="仿宋_GB2312" w:hAnsi="宋体" w:eastAsia="仿宋_GB2312"/>
          <w:b w:val="0"/>
          <w:bCs w:val="0"/>
          <w:spacing w:val="-4"/>
          <w:sz w:val="28"/>
          <w:szCs w:val="28"/>
          <w:highlight w:val="none"/>
        </w:rPr>
        <w:t>万元，比上年增加</w:t>
      </w:r>
      <w:r>
        <w:rPr>
          <w:rStyle w:val="16"/>
          <w:rFonts w:hint="eastAsia" w:ascii="仿宋_GB2312" w:hAnsi="宋体" w:eastAsia="仿宋_GB2312"/>
          <w:b w:val="0"/>
          <w:bCs w:val="0"/>
          <w:spacing w:val="-4"/>
          <w:sz w:val="28"/>
          <w:szCs w:val="28"/>
          <w:highlight w:val="none"/>
          <w:lang w:val="en-US" w:eastAsia="zh-CN"/>
        </w:rPr>
        <w:t>0</w:t>
      </w:r>
      <w:r>
        <w:rPr>
          <w:rStyle w:val="16"/>
          <w:rFonts w:hint="eastAsia" w:ascii="仿宋_GB2312" w:hAnsi="宋体" w:eastAsia="仿宋_GB2312"/>
          <w:b w:val="0"/>
          <w:bCs w:val="0"/>
          <w:spacing w:val="-4"/>
          <w:sz w:val="28"/>
          <w:szCs w:val="28"/>
          <w:highlight w:val="none"/>
        </w:rPr>
        <w:t>万元。</w:t>
      </w:r>
    </w:p>
    <w:p w14:paraId="725E496E">
      <w:pPr>
        <w:snapToGrid w:val="0"/>
        <w:spacing w:line="360" w:lineRule="auto"/>
        <w:ind w:firstLine="544" w:firstLineChars="200"/>
        <w:rPr>
          <w:rStyle w:val="16"/>
          <w:rFonts w:hint="eastAsia" w:ascii="宋体" w:hAnsi="宋体" w:eastAsia="仿宋_GB2312"/>
          <w:bCs w:val="0"/>
          <w:color w:val="FF0000"/>
          <w:spacing w:val="-4"/>
          <w:sz w:val="28"/>
          <w:szCs w:val="28"/>
          <w:highlight w:val="none"/>
          <w:lang w:eastAsia="zh-CN"/>
        </w:rPr>
      </w:pPr>
      <w:r>
        <w:rPr>
          <w:rStyle w:val="16"/>
          <w:rFonts w:hint="eastAsia" w:ascii="仿宋_GB2312" w:hAnsi="宋体" w:eastAsia="仿宋_GB2312"/>
          <w:b w:val="0"/>
          <w:bCs w:val="0"/>
          <w:spacing w:val="-4"/>
          <w:sz w:val="28"/>
          <w:szCs w:val="28"/>
          <w:highlight w:val="none"/>
        </w:rPr>
        <w:t>实际在用固定资产</w:t>
      </w:r>
      <w:r>
        <w:rPr>
          <w:rStyle w:val="16"/>
          <w:rFonts w:hint="eastAsia" w:ascii="仿宋_GB2312" w:hAnsi="宋体" w:eastAsia="仿宋_GB2312"/>
          <w:b w:val="0"/>
          <w:bCs w:val="0"/>
          <w:spacing w:val="-4"/>
          <w:sz w:val="28"/>
          <w:szCs w:val="28"/>
          <w:highlight w:val="none"/>
          <w:lang w:val="en-US" w:eastAsia="zh-CN"/>
        </w:rPr>
        <w:t>48.49</w:t>
      </w:r>
      <w:r>
        <w:rPr>
          <w:rStyle w:val="16"/>
          <w:rFonts w:hint="eastAsia" w:ascii="仿宋_GB2312" w:hAnsi="宋体" w:eastAsia="仿宋_GB2312"/>
          <w:b w:val="0"/>
          <w:bCs w:val="0"/>
          <w:spacing w:val="-4"/>
          <w:sz w:val="28"/>
          <w:szCs w:val="28"/>
          <w:highlight w:val="none"/>
        </w:rPr>
        <w:t>万元，固定资产利用率</w:t>
      </w:r>
      <w:r>
        <w:rPr>
          <w:rStyle w:val="16"/>
          <w:rFonts w:hint="eastAsia" w:ascii="仿宋_GB2312" w:hAnsi="宋体" w:eastAsia="仿宋_GB2312"/>
          <w:b w:val="0"/>
          <w:bCs w:val="0"/>
          <w:spacing w:val="-4"/>
          <w:sz w:val="28"/>
          <w:szCs w:val="28"/>
          <w:highlight w:val="none"/>
          <w:lang w:val="en-US" w:eastAsia="zh-CN"/>
        </w:rPr>
        <w:t>100</w:t>
      </w:r>
      <w:r>
        <w:rPr>
          <w:rStyle w:val="16"/>
          <w:rFonts w:hint="eastAsia" w:ascii="仿宋_GB2312" w:hAnsi="宋体" w:eastAsia="仿宋_GB2312"/>
          <w:b w:val="0"/>
          <w:bCs w:val="0"/>
          <w:spacing w:val="-4"/>
          <w:sz w:val="28"/>
          <w:szCs w:val="28"/>
          <w:highlight w:val="none"/>
        </w:rPr>
        <w:t>%</w:t>
      </w:r>
      <w:r>
        <w:rPr>
          <w:rStyle w:val="16"/>
          <w:rFonts w:hint="eastAsia" w:ascii="仿宋_GB2312" w:hAnsi="宋体" w:eastAsia="仿宋_GB2312"/>
          <w:b w:val="0"/>
          <w:bCs w:val="0"/>
          <w:spacing w:val="-4"/>
          <w:sz w:val="28"/>
          <w:szCs w:val="28"/>
          <w:highlight w:val="none"/>
          <w:lang w:eastAsia="zh-CN"/>
        </w:rPr>
        <w:t>。</w:t>
      </w:r>
    </w:p>
    <w:p w14:paraId="170820F8">
      <w:pPr>
        <w:pStyle w:val="4"/>
        <w:spacing w:line="360" w:lineRule="auto"/>
        <w:rPr>
          <w:rStyle w:val="16"/>
          <w:rFonts w:ascii="仿宋" w:hAnsi="仿宋" w:eastAsia="仿宋"/>
          <w:b/>
          <w:bCs/>
        </w:rPr>
      </w:pPr>
      <w:r>
        <w:rPr>
          <w:rStyle w:val="16"/>
          <w:rFonts w:hint="eastAsia" w:ascii="仿宋" w:hAnsi="仿宋" w:eastAsia="仿宋"/>
          <w:b/>
          <w:bCs/>
        </w:rPr>
        <w:t>（二）资产管理情况</w:t>
      </w:r>
      <w:bookmarkEnd w:id="22"/>
    </w:p>
    <w:p w14:paraId="79D2951D">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lang w:val="en-US" w:eastAsia="zh-CN"/>
        </w:rPr>
        <w:t>1、</w:t>
      </w:r>
      <w:r>
        <w:rPr>
          <w:rStyle w:val="16"/>
          <w:rFonts w:hint="eastAsia" w:ascii="仿宋_GB2312" w:hAnsi="宋体" w:eastAsia="仿宋_GB2312"/>
          <w:b w:val="0"/>
          <w:color w:val="auto"/>
          <w:spacing w:val="-4"/>
          <w:sz w:val="28"/>
          <w:szCs w:val="28"/>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27519464">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F66B753">
      <w:pPr>
        <w:snapToGrid w:val="0"/>
        <w:spacing w:line="360" w:lineRule="auto"/>
        <w:ind w:firstLine="544" w:firstLineChars="200"/>
        <w:rPr>
          <w:rStyle w:val="16"/>
          <w:rFonts w:ascii="仿宋_GB2312" w:hAnsi="宋体" w:eastAsia="仿宋_GB2312"/>
          <w:b w:val="0"/>
          <w:spacing w:val="-4"/>
          <w:sz w:val="28"/>
          <w:szCs w:val="28"/>
        </w:rPr>
      </w:pPr>
    </w:p>
    <w:p w14:paraId="0E3605D4">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14:paraId="7D382BF8">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14:paraId="548A8D6A">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91.04</w:t>
      </w:r>
      <w:r>
        <w:rPr>
          <w:rStyle w:val="16"/>
          <w:rFonts w:hint="eastAsia" w:ascii="仿宋_GB2312" w:hAnsi="宋体" w:eastAsia="仿宋_GB2312"/>
          <w:b w:val="0"/>
          <w:bCs w:val="0"/>
          <w:spacing w:val="-4"/>
          <w:sz w:val="28"/>
          <w:szCs w:val="28"/>
        </w:rPr>
        <w:t>万元</w:t>
      </w:r>
      <w:r>
        <w:rPr>
          <w:rStyle w:val="16"/>
          <w:rFonts w:hint="eastAsia" w:ascii="仿宋_GB2312" w:hAnsi="宋体" w:eastAsia="仿宋_GB2312" w:cs="Times New Roman"/>
          <w:b w:val="0"/>
          <w:bCs w:val="0"/>
          <w:spacing w:val="-4"/>
          <w:sz w:val="28"/>
          <w:szCs w:val="28"/>
        </w:rPr>
        <w:t>，年中调整</w:t>
      </w:r>
      <w:r>
        <w:rPr>
          <w:rStyle w:val="16"/>
          <w:rFonts w:hint="eastAsia" w:ascii="仿宋_GB2312" w:hAnsi="宋体" w:eastAsia="仿宋_GB2312" w:cs="Times New Roman"/>
          <w:b w:val="0"/>
          <w:bCs w:val="0"/>
          <w:spacing w:val="-4"/>
          <w:sz w:val="28"/>
          <w:szCs w:val="28"/>
          <w:lang w:val="en-US" w:eastAsia="zh-CN"/>
        </w:rPr>
        <w:t>64.68</w:t>
      </w:r>
      <w:r>
        <w:rPr>
          <w:rStyle w:val="16"/>
          <w:rFonts w:hint="eastAsia" w:ascii="仿宋_GB2312" w:hAnsi="宋体" w:eastAsia="仿宋_GB2312" w:cs="Times New Roman"/>
          <w:b w:val="0"/>
          <w:bCs w:val="0"/>
          <w:spacing w:val="-4"/>
          <w:sz w:val="28"/>
          <w:szCs w:val="28"/>
        </w:rPr>
        <w:t>万元，</w:t>
      </w:r>
      <w:r>
        <w:rPr>
          <w:rStyle w:val="16"/>
          <w:rFonts w:hint="eastAsia" w:ascii="仿宋_GB2312" w:hAnsi="宋体" w:eastAsia="仿宋_GB2312"/>
          <w:b w:val="0"/>
          <w:bCs w:val="0"/>
          <w:spacing w:val="-4"/>
          <w:sz w:val="28"/>
          <w:szCs w:val="28"/>
        </w:rPr>
        <w:t>截止12月底支出</w:t>
      </w:r>
      <w:r>
        <w:rPr>
          <w:rStyle w:val="16"/>
          <w:rFonts w:hint="eastAsia" w:ascii="仿宋_GB2312" w:hAnsi="宋体" w:eastAsia="仿宋_GB2312"/>
          <w:b w:val="0"/>
          <w:bCs w:val="0"/>
          <w:spacing w:val="-4"/>
          <w:sz w:val="28"/>
          <w:szCs w:val="28"/>
          <w:lang w:val="en-US" w:eastAsia="zh-CN"/>
        </w:rPr>
        <w:t>155.72</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14:paraId="57D4493D">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14:paraId="34B32542">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14:paraId="15393048">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14:paraId="3A10FDEC">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上级工会</w:t>
      </w:r>
      <w:r>
        <w:rPr>
          <w:rStyle w:val="16"/>
          <w:rFonts w:hint="eastAsia" w:ascii="仿宋_GB2312" w:hAnsi="宋体" w:eastAsia="仿宋_GB2312"/>
          <w:b w:val="0"/>
          <w:bCs w:val="0"/>
          <w:spacing w:val="-4"/>
          <w:sz w:val="28"/>
          <w:szCs w:val="28"/>
        </w:rPr>
        <w:t>的正确领导和</w:t>
      </w:r>
      <w:r>
        <w:rPr>
          <w:rStyle w:val="16"/>
          <w:rFonts w:hint="eastAsia" w:ascii="仿宋_GB2312" w:hAnsi="宋体" w:eastAsia="仿宋_GB2312"/>
          <w:b w:val="0"/>
          <w:bCs w:val="0"/>
          <w:spacing w:val="-4"/>
          <w:sz w:val="28"/>
          <w:szCs w:val="28"/>
          <w:lang w:eastAsia="zh-CN"/>
        </w:rPr>
        <w:t>县财政局</w:t>
      </w:r>
      <w:r>
        <w:rPr>
          <w:rStyle w:val="16"/>
          <w:rFonts w:hint="eastAsia" w:ascii="仿宋_GB2312" w:hAnsi="宋体" w:eastAsia="仿宋_GB2312"/>
          <w:b w:val="0"/>
          <w:bCs w:val="0"/>
          <w:spacing w:val="-4"/>
          <w:sz w:val="28"/>
          <w:szCs w:val="28"/>
        </w:rPr>
        <w:t>的大力支持，我</w:t>
      </w:r>
      <w:r>
        <w:rPr>
          <w:rStyle w:val="16"/>
          <w:rFonts w:hint="eastAsia" w:ascii="仿宋_GB2312" w:hAnsi="宋体" w:eastAsia="仿宋_GB2312" w:cs="Times New Roman"/>
          <w:b w:val="0"/>
          <w:bCs w:val="0"/>
          <w:spacing w:val="-4"/>
          <w:sz w:val="28"/>
          <w:szCs w:val="28"/>
        </w:rPr>
        <w:t>单位</w:t>
      </w:r>
      <w:r>
        <w:rPr>
          <w:rStyle w:val="16"/>
          <w:rFonts w:hint="eastAsia" w:ascii="仿宋_GB2312" w:hAnsi="宋体" w:eastAsia="仿宋_GB2312"/>
          <w:b w:val="0"/>
          <w:bCs w:val="0"/>
          <w:spacing w:val="-4"/>
          <w:sz w:val="28"/>
          <w:szCs w:val="28"/>
        </w:rPr>
        <w:t>迎难而上、务实重干，积极推动各项工作取得了新的进展，为促进经济持续健康发展与社会和谐稳定提供了有力的支撑和保障。</w:t>
      </w:r>
    </w:p>
    <w:p w14:paraId="3EDEFFA0">
      <w:pPr>
        <w:spacing w:line="360" w:lineRule="auto"/>
        <w:ind w:firstLine="544" w:firstLineChars="200"/>
        <w:rPr>
          <w:rStyle w:val="16"/>
          <w:rFonts w:hint="eastAsia" w:ascii="仿宋_GB2312" w:hAnsi="宋体" w:eastAsia="仿宋_GB2312" w:cs="Times New Roman"/>
          <w:b w:val="0"/>
          <w:bCs w:val="0"/>
          <w:spacing w:val="-4"/>
          <w:sz w:val="28"/>
          <w:szCs w:val="28"/>
          <w:lang w:eastAsia="zh-CN"/>
        </w:rPr>
      </w:pPr>
      <w:bookmarkStart w:id="26" w:name="_Toc70450316"/>
      <w:r>
        <w:rPr>
          <w:rStyle w:val="16"/>
          <w:rFonts w:hint="eastAsia" w:ascii="仿宋_GB2312" w:hAnsi="宋体" w:eastAsia="仿宋_GB2312" w:cs="Times New Roman"/>
          <w:b w:val="0"/>
          <w:bCs w:val="0"/>
          <w:spacing w:val="-4"/>
          <w:sz w:val="28"/>
          <w:szCs w:val="28"/>
        </w:rPr>
        <w:t>1、圆满完成</w:t>
      </w:r>
      <w:r>
        <w:rPr>
          <w:rStyle w:val="16"/>
          <w:rFonts w:hint="eastAsia" w:ascii="仿宋_GB2312" w:hAnsi="宋体" w:eastAsia="仿宋_GB2312" w:cs="Times New Roman"/>
          <w:b w:val="0"/>
          <w:bCs w:val="0"/>
          <w:spacing w:val="-4"/>
          <w:sz w:val="28"/>
          <w:szCs w:val="28"/>
          <w:lang w:val="en-US" w:eastAsia="zh-CN"/>
        </w:rPr>
        <w:t>年初预算安排的各项</w:t>
      </w:r>
      <w:r>
        <w:rPr>
          <w:rStyle w:val="16"/>
          <w:rFonts w:hint="eastAsia" w:ascii="仿宋_GB2312" w:hAnsi="宋体" w:eastAsia="仿宋_GB2312" w:cs="Times New Roman"/>
          <w:b w:val="0"/>
          <w:bCs w:val="0"/>
          <w:spacing w:val="-4"/>
          <w:sz w:val="28"/>
          <w:szCs w:val="28"/>
        </w:rPr>
        <w:t>工作</w:t>
      </w:r>
      <w:r>
        <w:rPr>
          <w:rStyle w:val="16"/>
          <w:rFonts w:hint="eastAsia" w:ascii="仿宋_GB2312" w:hAnsi="宋体" w:eastAsia="仿宋_GB2312" w:cs="Times New Roman"/>
          <w:b w:val="0"/>
          <w:bCs w:val="0"/>
          <w:spacing w:val="-4"/>
          <w:sz w:val="28"/>
          <w:szCs w:val="28"/>
          <w:lang w:eastAsia="zh-CN"/>
        </w:rPr>
        <w:t>。</w:t>
      </w:r>
    </w:p>
    <w:p w14:paraId="0517E552">
      <w:pPr>
        <w:spacing w:line="360" w:lineRule="auto"/>
        <w:ind w:firstLine="544" w:firstLineChars="200"/>
        <w:rPr>
          <w:rStyle w:val="16"/>
          <w:rFonts w:hint="eastAsia" w:ascii="仿宋_GB2312" w:hAnsi="宋体" w:eastAsia="仿宋_GB2312" w:cs="Times New Roman"/>
          <w:b w:val="0"/>
          <w:bCs w:val="0"/>
          <w:spacing w:val="-4"/>
          <w:sz w:val="28"/>
          <w:szCs w:val="28"/>
        </w:rPr>
      </w:pPr>
      <w:r>
        <w:rPr>
          <w:rStyle w:val="16"/>
          <w:rFonts w:hint="eastAsia" w:ascii="仿宋_GB2312" w:hAnsi="宋体" w:eastAsia="仿宋_GB2312" w:cs="Times New Roman"/>
          <w:b w:val="0"/>
          <w:bCs w:val="0"/>
          <w:spacing w:val="-4"/>
          <w:sz w:val="28"/>
          <w:szCs w:val="28"/>
          <w:lang w:val="en-US" w:eastAsia="zh-CN"/>
        </w:rPr>
        <w:t>2、按时完成2021年预算支出；2按时完成其他各类财务日常工作</w:t>
      </w:r>
      <w:r>
        <w:rPr>
          <w:rStyle w:val="16"/>
          <w:rFonts w:hint="eastAsia" w:ascii="仿宋_GB2312" w:hAnsi="宋体" w:eastAsia="仿宋_GB2312" w:cs="Times New Roman"/>
          <w:b w:val="0"/>
          <w:bCs w:val="0"/>
          <w:spacing w:val="-4"/>
          <w:sz w:val="28"/>
          <w:szCs w:val="28"/>
        </w:rPr>
        <w:t>。</w:t>
      </w:r>
    </w:p>
    <w:p w14:paraId="54848FA4">
      <w:pPr>
        <w:spacing w:line="360" w:lineRule="auto"/>
        <w:ind w:firstLine="544" w:firstLineChars="200"/>
        <w:rPr>
          <w:rStyle w:val="16"/>
          <w:rFonts w:hint="default" w:ascii="仿宋_GB2312" w:hAnsi="宋体" w:eastAsia="仿宋_GB2312" w:cs="Times New Roman"/>
          <w:b w:val="0"/>
          <w:bCs w:val="0"/>
          <w:spacing w:val="-4"/>
          <w:sz w:val="28"/>
          <w:szCs w:val="28"/>
          <w:lang w:val="en-US"/>
        </w:rPr>
      </w:pPr>
      <w:r>
        <w:rPr>
          <w:rStyle w:val="16"/>
          <w:rFonts w:hint="eastAsia" w:ascii="仿宋_GB2312" w:hAnsi="宋体" w:eastAsia="仿宋_GB2312" w:cs="Times New Roman"/>
          <w:b w:val="0"/>
          <w:bCs w:val="0"/>
          <w:spacing w:val="-4"/>
          <w:sz w:val="28"/>
          <w:szCs w:val="28"/>
          <w:lang w:val="en-US" w:eastAsia="zh-CN"/>
        </w:rPr>
        <w:t>3</w:t>
      </w:r>
      <w:r>
        <w:rPr>
          <w:rStyle w:val="16"/>
          <w:rFonts w:hint="eastAsia" w:ascii="仿宋_GB2312" w:hAnsi="宋体" w:eastAsia="仿宋_GB2312" w:cs="Times New Roman"/>
          <w:b w:val="0"/>
          <w:bCs w:val="0"/>
          <w:spacing w:val="-4"/>
          <w:sz w:val="28"/>
          <w:szCs w:val="28"/>
        </w:rPr>
        <w:t>、</w:t>
      </w:r>
      <w:r>
        <w:rPr>
          <w:rStyle w:val="16"/>
          <w:rFonts w:hint="eastAsia" w:ascii="仿宋_GB2312" w:hAnsi="宋体" w:eastAsia="仿宋_GB2312" w:cs="Times New Roman"/>
          <w:b w:val="0"/>
          <w:bCs w:val="0"/>
          <w:spacing w:val="-4"/>
          <w:sz w:val="28"/>
          <w:szCs w:val="28"/>
          <w:lang w:val="en-US" w:eastAsia="zh-CN"/>
        </w:rPr>
        <w:t>2021年提前完成各类财务工作；财务绩效考核提前完成。</w:t>
      </w:r>
    </w:p>
    <w:p w14:paraId="724E403E">
      <w:pPr>
        <w:spacing w:line="360" w:lineRule="auto"/>
        <w:ind w:firstLine="544" w:firstLineChars="200"/>
        <w:rPr>
          <w:rStyle w:val="16"/>
          <w:rFonts w:hint="eastAsia" w:ascii="仿宋_GB2312" w:hAnsi="宋体" w:eastAsia="仿宋_GB2312" w:cs="Times New Roman"/>
          <w:b w:val="0"/>
          <w:bCs w:val="0"/>
          <w:spacing w:val="-4"/>
          <w:sz w:val="28"/>
          <w:szCs w:val="28"/>
        </w:rPr>
      </w:pPr>
      <w:r>
        <w:rPr>
          <w:rStyle w:val="16"/>
          <w:rFonts w:hint="eastAsia" w:ascii="仿宋_GB2312" w:hAnsi="宋体" w:eastAsia="仿宋_GB2312" w:cs="Times New Roman"/>
          <w:b w:val="0"/>
          <w:bCs w:val="0"/>
          <w:spacing w:val="-4"/>
          <w:sz w:val="28"/>
          <w:szCs w:val="28"/>
          <w:lang w:val="en-US" w:eastAsia="zh-CN"/>
        </w:rPr>
        <w:t>4、2021年特克斯县总工会财务实施、财务公开、财务绩效按时完成</w:t>
      </w:r>
      <w:r>
        <w:rPr>
          <w:rStyle w:val="16"/>
          <w:rFonts w:hint="eastAsia" w:ascii="仿宋_GB2312" w:hAnsi="宋体" w:eastAsia="仿宋_GB2312" w:cs="Times New Roman"/>
          <w:b w:val="0"/>
          <w:bCs w:val="0"/>
          <w:spacing w:val="-4"/>
          <w:sz w:val="28"/>
          <w:szCs w:val="28"/>
        </w:rPr>
        <w:t>成效显著</w:t>
      </w:r>
      <w:r>
        <w:rPr>
          <w:rStyle w:val="16"/>
          <w:rFonts w:hint="eastAsia" w:ascii="仿宋_GB2312" w:hAnsi="宋体" w:eastAsia="仿宋_GB2312" w:cs="Times New Roman"/>
          <w:b w:val="0"/>
          <w:bCs w:val="0"/>
          <w:spacing w:val="-4"/>
          <w:sz w:val="28"/>
          <w:szCs w:val="28"/>
          <w:lang w:eastAsia="zh-CN"/>
        </w:rPr>
        <w:t>。</w:t>
      </w:r>
    </w:p>
    <w:p w14:paraId="602824FD">
      <w:pPr>
        <w:spacing w:line="360" w:lineRule="auto"/>
        <w:ind w:firstLine="544" w:firstLineChars="200"/>
        <w:rPr>
          <w:rStyle w:val="16"/>
          <w:rFonts w:hint="eastAsia" w:ascii="仿宋_GB2312" w:hAnsi="宋体" w:eastAsia="仿宋_GB2312" w:cs="Times New Roman"/>
          <w:b w:val="0"/>
          <w:bCs w:val="0"/>
          <w:spacing w:val="-4"/>
          <w:sz w:val="28"/>
          <w:szCs w:val="28"/>
          <w:lang w:eastAsia="zh-CN"/>
        </w:rPr>
      </w:pPr>
      <w:r>
        <w:rPr>
          <w:rStyle w:val="16"/>
          <w:rFonts w:hint="eastAsia" w:ascii="仿宋_GB2312" w:hAnsi="宋体" w:eastAsia="仿宋_GB2312" w:cs="Times New Roman"/>
          <w:b w:val="0"/>
          <w:bCs w:val="0"/>
          <w:spacing w:val="-4"/>
          <w:sz w:val="28"/>
          <w:szCs w:val="28"/>
          <w:lang w:val="en-US" w:eastAsia="zh-CN"/>
        </w:rPr>
        <w:t>5、财政支出</w:t>
      </w:r>
      <w:r>
        <w:rPr>
          <w:rStyle w:val="16"/>
          <w:rFonts w:hint="eastAsia" w:ascii="仿宋_GB2312" w:hAnsi="宋体" w:eastAsia="仿宋_GB2312" w:cs="Times New Roman"/>
          <w:b w:val="0"/>
          <w:bCs w:val="0"/>
          <w:spacing w:val="-4"/>
          <w:sz w:val="28"/>
          <w:szCs w:val="28"/>
        </w:rPr>
        <w:t>全面达标，群众满意度高</w:t>
      </w:r>
      <w:r>
        <w:rPr>
          <w:rStyle w:val="16"/>
          <w:rFonts w:hint="eastAsia" w:ascii="仿宋_GB2312" w:hAnsi="宋体" w:eastAsia="仿宋_GB2312" w:cs="Times New Roman"/>
          <w:b w:val="0"/>
          <w:bCs w:val="0"/>
          <w:spacing w:val="-4"/>
          <w:sz w:val="28"/>
          <w:szCs w:val="28"/>
          <w:lang w:eastAsia="zh-CN"/>
        </w:rPr>
        <w:t>。</w:t>
      </w:r>
    </w:p>
    <w:p w14:paraId="019BBCCB">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6"/>
    </w:p>
    <w:p w14:paraId="1EB2655F">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eastAsia="zh-CN"/>
        </w:rPr>
        <w:t>特克斯县</w:t>
      </w:r>
      <w:r>
        <w:rPr>
          <w:rStyle w:val="16"/>
          <w:rFonts w:hint="eastAsia" w:ascii="仿宋_GB2312" w:eastAsia="仿宋_GB2312" w:hAnsiTheme="minorEastAsia"/>
          <w:b w:val="0"/>
          <w:spacing w:val="-4"/>
          <w:sz w:val="28"/>
          <w:szCs w:val="28"/>
        </w:rPr>
        <w:t xml:space="preserve">单位整体绩效目标共设置一级指标 </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6</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14</w:t>
      </w:r>
      <w:r>
        <w:rPr>
          <w:rStyle w:val="16"/>
          <w:rFonts w:hint="eastAsia" w:ascii="仿宋_GB2312" w:eastAsia="仿宋_GB2312" w:hAnsiTheme="minorEastAsia"/>
          <w:b w:val="0"/>
          <w:spacing w:val="-4"/>
          <w:sz w:val="28"/>
          <w:szCs w:val="28"/>
        </w:rPr>
        <w:t>个，详细说明如下</w:t>
      </w:r>
    </w:p>
    <w:p w14:paraId="6CF111C3">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14:paraId="359121D7">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保障在职人员数</w:t>
      </w:r>
      <w:r>
        <w:rPr>
          <w:rStyle w:val="16"/>
          <w:rFonts w:hint="eastAsia" w:ascii="仿宋_GB2312" w:hAnsi="宋体" w:eastAsia="仿宋_GB2312"/>
          <w:b w:val="0"/>
          <w:spacing w:val="-4"/>
          <w:sz w:val="28"/>
          <w:szCs w:val="28"/>
        </w:rPr>
        <w:t xml:space="preserve"> ，指标值：</w:t>
      </w:r>
      <w:r>
        <w:rPr>
          <w:rStyle w:val="16"/>
          <w:rFonts w:hint="eastAsia" w:ascii="宋体" w:hAnsi="宋体" w:eastAsia="宋体" w:cs="宋体"/>
          <w:b w:val="0"/>
          <w:spacing w:val="-4"/>
          <w:sz w:val="28"/>
          <w:szCs w:val="28"/>
        </w:rPr>
        <w:t>≧</w:t>
      </w:r>
      <w:r>
        <w:rPr>
          <w:rStyle w:val="16"/>
          <w:rFonts w:hint="eastAsia" w:ascii="仿宋_GB2312" w:hAnsi="宋体" w:eastAsia="仿宋_GB2312"/>
          <w:b w:val="0"/>
          <w:spacing w:val="-4"/>
          <w:sz w:val="28"/>
          <w:szCs w:val="28"/>
          <w:lang w:val="en-US" w:eastAsia="zh-CN"/>
        </w:rPr>
        <w:t>8人</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8人</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14:paraId="069DD981">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工会知识培训</w:t>
      </w:r>
      <w:r>
        <w:rPr>
          <w:rStyle w:val="16"/>
          <w:rFonts w:hint="eastAsia" w:ascii="仿宋_GB2312" w:hAnsi="宋体" w:eastAsia="仿宋_GB2312"/>
          <w:b w:val="0"/>
          <w:spacing w:val="-4"/>
          <w:sz w:val="28"/>
          <w:szCs w:val="28"/>
        </w:rPr>
        <w:t xml:space="preserve"> ，指标值：</w:t>
      </w:r>
      <w:r>
        <w:rPr>
          <w:rStyle w:val="16"/>
          <w:rFonts w:hint="eastAsia" w:ascii="宋体" w:hAnsi="宋体" w:eastAsia="宋体" w:cs="宋体"/>
          <w:b w:val="0"/>
          <w:spacing w:val="-4"/>
          <w:sz w:val="28"/>
          <w:szCs w:val="28"/>
        </w:rPr>
        <w:t>≧</w:t>
      </w:r>
      <w:r>
        <w:rPr>
          <w:rStyle w:val="16"/>
          <w:rFonts w:hint="eastAsia" w:ascii="宋体" w:hAnsi="宋体" w:eastAsia="宋体" w:cs="宋体"/>
          <w:b w:val="0"/>
          <w:spacing w:val="-4"/>
          <w:sz w:val="28"/>
          <w:szCs w:val="28"/>
          <w:lang w:val="en-US" w:eastAsia="zh-CN"/>
        </w:rPr>
        <w:t>3次</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3次</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ascii="仿宋_GB2312" w:hAnsi="宋体" w:eastAsia="仿宋_GB2312"/>
          <w:b w:val="0"/>
          <w:spacing w:val="-4"/>
          <w:sz w:val="28"/>
          <w:szCs w:val="28"/>
        </w:rPr>
        <w:t>X</w:t>
      </w:r>
      <w:r>
        <w:rPr>
          <w:rStyle w:val="16"/>
          <w:rFonts w:hint="eastAsia" w:ascii="仿宋_GB2312" w:hAnsi="宋体" w:eastAsia="仿宋_GB2312"/>
          <w:b w:val="0"/>
          <w:spacing w:val="-4"/>
          <w:sz w:val="28"/>
          <w:szCs w:val="28"/>
        </w:rPr>
        <w:t>%；</w:t>
      </w:r>
    </w:p>
    <w:p w14:paraId="7FDCB870">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走访慰问困难职工，</w:t>
      </w:r>
      <w:r>
        <w:rPr>
          <w:rStyle w:val="16"/>
          <w:rFonts w:hint="eastAsia" w:ascii="仿宋_GB2312" w:hAnsi="宋体" w:eastAsia="仿宋_GB2312"/>
          <w:b w:val="0"/>
          <w:spacing w:val="-4"/>
          <w:sz w:val="28"/>
          <w:szCs w:val="28"/>
        </w:rPr>
        <w:t>指标值：</w:t>
      </w:r>
      <w:r>
        <w:rPr>
          <w:rStyle w:val="16"/>
          <w:rFonts w:hint="eastAsia" w:ascii="宋体" w:hAnsi="宋体" w:eastAsia="宋体" w:cs="宋体"/>
          <w:b w:val="0"/>
          <w:spacing w:val="-4"/>
          <w:sz w:val="28"/>
          <w:szCs w:val="28"/>
        </w:rPr>
        <w:t>≧</w:t>
      </w:r>
      <w:r>
        <w:rPr>
          <w:rStyle w:val="16"/>
          <w:rFonts w:hint="eastAsia" w:ascii="宋体" w:hAnsi="宋体" w:eastAsia="宋体" w:cs="宋体"/>
          <w:b w:val="0"/>
          <w:spacing w:val="-4"/>
          <w:sz w:val="28"/>
          <w:szCs w:val="28"/>
          <w:lang w:val="en-US" w:eastAsia="zh-CN"/>
        </w:rPr>
        <w:t>30次</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30次</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ascii="仿宋_GB2312" w:hAnsi="宋体" w:eastAsia="仿宋_GB2312"/>
          <w:b w:val="0"/>
          <w:spacing w:val="-4"/>
          <w:sz w:val="28"/>
          <w:szCs w:val="28"/>
        </w:rPr>
        <w:t>X</w:t>
      </w:r>
      <w:r>
        <w:rPr>
          <w:rStyle w:val="16"/>
          <w:rFonts w:hint="eastAsia" w:ascii="仿宋_GB2312" w:hAnsi="宋体" w:eastAsia="仿宋_GB2312"/>
          <w:b w:val="0"/>
          <w:spacing w:val="-4"/>
          <w:sz w:val="28"/>
          <w:szCs w:val="28"/>
        </w:rPr>
        <w:t>%；</w:t>
      </w:r>
    </w:p>
    <w:p w14:paraId="7D1F158D">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14:paraId="6CBC377B">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困难职工走访帮扶覆盖率</w:t>
      </w:r>
      <w:r>
        <w:rPr>
          <w:rStyle w:val="16"/>
          <w:rFonts w:hint="eastAsia" w:ascii="仿宋_GB2312" w:hAnsi="宋体" w:eastAsia="仿宋_GB2312"/>
          <w:b w:val="0"/>
          <w:spacing w:val="-4"/>
          <w:sz w:val="28"/>
          <w:szCs w:val="28"/>
        </w:rPr>
        <w:t>，指标值：</w:t>
      </w:r>
      <w:r>
        <w:rPr>
          <w:rStyle w:val="16"/>
          <w:rFonts w:hint="eastAsia" w:ascii="宋体" w:hAnsi="宋体" w:eastAsia="宋体" w:cs="宋体"/>
          <w:b w:val="0"/>
          <w:spacing w:val="-4"/>
          <w:sz w:val="28"/>
          <w:szCs w:val="28"/>
        </w:rPr>
        <w:t>≧</w:t>
      </w:r>
      <w:r>
        <w:rPr>
          <w:rStyle w:val="16"/>
          <w:rFonts w:hint="eastAsia" w:ascii="宋体" w:hAnsi="宋体" w:eastAsia="宋体" w:cs="宋体"/>
          <w:b w:val="0"/>
          <w:spacing w:val="-4"/>
          <w:sz w:val="28"/>
          <w:szCs w:val="28"/>
          <w:lang w:val="en-US" w:eastAsia="zh-CN"/>
        </w:rPr>
        <w:t>98%</w:t>
      </w:r>
      <w:r>
        <w:rPr>
          <w:rStyle w:val="16"/>
          <w:rFonts w:hint="eastAsia" w:ascii="仿宋_GB2312" w:hAnsi="宋体" w:eastAsia="仿宋_GB2312"/>
          <w:b w:val="0"/>
          <w:spacing w:val="-4"/>
          <w:sz w:val="28"/>
          <w:szCs w:val="28"/>
        </w:rPr>
        <w:t>，实际完成值：</w:t>
      </w:r>
      <w:r>
        <w:rPr>
          <w:rStyle w:val="16"/>
          <w:rFonts w:hint="eastAsia" w:ascii="宋体" w:hAnsi="宋体" w:eastAsia="宋体" w:cs="宋体"/>
          <w:b w:val="0"/>
          <w:spacing w:val="-4"/>
          <w:sz w:val="28"/>
          <w:szCs w:val="28"/>
          <w:lang w:val="en-US" w:eastAsia="zh-CN"/>
        </w:rPr>
        <w:t>98%</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14:paraId="784451A6">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工资及公用经费保障率</w:t>
      </w:r>
      <w:r>
        <w:rPr>
          <w:rStyle w:val="16"/>
          <w:rFonts w:hint="eastAsia" w:ascii="仿宋_GB2312" w:hAnsi="宋体" w:eastAsia="仿宋_GB2312"/>
          <w:b w:val="0"/>
          <w:spacing w:val="-4"/>
          <w:sz w:val="28"/>
          <w:szCs w:val="28"/>
        </w:rPr>
        <w:t xml:space="preserve"> ，指标值：</w:t>
      </w:r>
      <w:r>
        <w:rPr>
          <w:rStyle w:val="16"/>
          <w:rFonts w:hint="eastAsia" w:ascii="宋体" w:hAnsi="宋体" w:eastAsia="宋体" w:cs="宋体"/>
          <w:b w:val="0"/>
          <w:spacing w:val="-4"/>
          <w:sz w:val="28"/>
          <w:szCs w:val="28"/>
          <w:lang w:val="en-US" w:eastAsia="zh-CN"/>
        </w:rPr>
        <w:t>=100%</w:t>
      </w:r>
      <w:r>
        <w:rPr>
          <w:rStyle w:val="16"/>
          <w:rFonts w:hint="eastAsia" w:ascii="仿宋_GB2312" w:hAnsi="宋体" w:eastAsia="仿宋_GB2312"/>
          <w:b w:val="0"/>
          <w:spacing w:val="-4"/>
          <w:sz w:val="28"/>
          <w:szCs w:val="28"/>
        </w:rPr>
        <w:t xml:space="preserve"> ，实际完成值：</w:t>
      </w:r>
      <w:r>
        <w:rPr>
          <w:rStyle w:val="16"/>
          <w:rFonts w:hint="eastAsia" w:ascii="宋体" w:hAnsi="宋体" w:eastAsia="宋体" w:cs="宋体"/>
          <w:b w:val="0"/>
          <w:spacing w:val="-4"/>
          <w:sz w:val="28"/>
          <w:szCs w:val="28"/>
          <w:lang w:val="en-US" w:eastAsia="zh-CN"/>
        </w:rPr>
        <w:t>100%</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14:paraId="53BB9777">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14:paraId="1718CBCB">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资金发放及时性</w:t>
      </w:r>
      <w:r>
        <w:rPr>
          <w:rStyle w:val="16"/>
          <w:rFonts w:hint="eastAsia" w:ascii="仿宋_GB2312" w:hAnsi="宋体" w:eastAsia="仿宋_GB2312"/>
          <w:b w:val="0"/>
          <w:spacing w:val="-4"/>
          <w:sz w:val="28"/>
          <w:szCs w:val="28"/>
        </w:rPr>
        <w:t>，指标值：</w:t>
      </w:r>
      <w:r>
        <w:rPr>
          <w:rStyle w:val="16"/>
          <w:rFonts w:hint="eastAsia" w:ascii="宋体" w:hAnsi="宋体" w:eastAsia="宋体" w:cs="宋体"/>
          <w:b w:val="0"/>
          <w:spacing w:val="-4"/>
          <w:sz w:val="28"/>
          <w:szCs w:val="28"/>
          <w:lang w:val="en-US" w:eastAsia="zh-CN"/>
        </w:rPr>
        <w:t>=100%</w:t>
      </w:r>
      <w:r>
        <w:rPr>
          <w:rStyle w:val="16"/>
          <w:rFonts w:hint="eastAsia" w:ascii="仿宋_GB2312" w:hAnsi="宋体" w:eastAsia="仿宋_GB2312"/>
          <w:b w:val="0"/>
          <w:spacing w:val="-4"/>
          <w:sz w:val="28"/>
          <w:szCs w:val="28"/>
        </w:rPr>
        <w:t xml:space="preserve"> ，实际完成值：</w:t>
      </w:r>
      <w:r>
        <w:rPr>
          <w:rStyle w:val="16"/>
          <w:rFonts w:hint="eastAsia" w:ascii="宋体" w:hAnsi="宋体" w:eastAsia="宋体" w:cs="宋体"/>
          <w:b w:val="0"/>
          <w:spacing w:val="-4"/>
          <w:sz w:val="28"/>
          <w:szCs w:val="28"/>
          <w:lang w:val="en-US" w:eastAsia="zh-CN"/>
        </w:rPr>
        <w:t>100%</w:t>
      </w:r>
      <w:r>
        <w:rPr>
          <w:rStyle w:val="16"/>
          <w:rFonts w:hint="eastAsia" w:ascii="仿宋_GB2312" w:hAnsi="宋体" w:eastAsia="仿宋_GB2312"/>
          <w:b w:val="0"/>
          <w:spacing w:val="-4"/>
          <w:sz w:val="28"/>
          <w:szCs w:val="28"/>
        </w:rPr>
        <w:t xml:space="preserve">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14:paraId="216E5609">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14:paraId="68BAA334">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保障人员人均支出标准</w:t>
      </w:r>
      <w:r>
        <w:rPr>
          <w:rStyle w:val="16"/>
          <w:rFonts w:hint="eastAsia" w:ascii="仿宋_GB2312" w:hAnsi="宋体" w:eastAsia="仿宋_GB2312"/>
          <w:b w:val="0"/>
          <w:spacing w:val="-4"/>
          <w:sz w:val="28"/>
          <w:szCs w:val="28"/>
        </w:rPr>
        <w:t>，指标值：</w:t>
      </w:r>
      <w:r>
        <w:rPr>
          <w:rStyle w:val="16"/>
          <w:rFonts w:hint="eastAsia" w:ascii="宋体" w:hAnsi="宋体" w:eastAsia="宋体" w:cs="宋体"/>
          <w:b w:val="0"/>
          <w:spacing w:val="-4"/>
          <w:sz w:val="28"/>
          <w:szCs w:val="28"/>
        </w:rPr>
        <w:t>≦</w:t>
      </w:r>
      <w:r>
        <w:rPr>
          <w:rStyle w:val="16"/>
          <w:rFonts w:hint="eastAsia" w:ascii="仿宋_GB2312" w:hAnsi="宋体" w:eastAsia="仿宋_GB2312"/>
          <w:b w:val="0"/>
          <w:spacing w:val="-4"/>
          <w:sz w:val="28"/>
          <w:szCs w:val="28"/>
          <w:lang w:val="en-US" w:eastAsia="zh-CN"/>
        </w:rPr>
        <w:t>10.98</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val="en-US" w:eastAsia="zh-CN"/>
        </w:rPr>
        <w:t>10.98</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14:paraId="5AD7C208">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人均运转经费</w:t>
      </w:r>
      <w:r>
        <w:rPr>
          <w:rStyle w:val="16"/>
          <w:rFonts w:hint="eastAsia" w:ascii="仿宋_GB2312" w:hAnsi="宋体" w:eastAsia="仿宋_GB2312"/>
          <w:b w:val="0"/>
          <w:spacing w:val="-4"/>
          <w:sz w:val="28"/>
          <w:szCs w:val="28"/>
        </w:rPr>
        <w:t>，指标值：</w:t>
      </w:r>
      <w:r>
        <w:rPr>
          <w:rStyle w:val="16"/>
          <w:rFonts w:hint="eastAsia" w:ascii="宋体" w:hAnsi="宋体" w:eastAsia="宋体" w:cs="宋体"/>
          <w:b w:val="0"/>
          <w:spacing w:val="-4"/>
          <w:sz w:val="28"/>
          <w:szCs w:val="28"/>
        </w:rPr>
        <w:t>≦</w:t>
      </w:r>
      <w:r>
        <w:rPr>
          <w:rStyle w:val="16"/>
          <w:rFonts w:hint="eastAsia" w:ascii="仿宋_GB2312" w:hAnsi="宋体" w:eastAsia="仿宋_GB2312"/>
          <w:b w:val="0"/>
          <w:spacing w:val="-4"/>
          <w:sz w:val="28"/>
          <w:szCs w:val="28"/>
          <w:lang w:val="en-US" w:eastAsia="zh-CN"/>
        </w:rPr>
        <w:t>0.4</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val="en-US" w:eastAsia="zh-CN"/>
        </w:rPr>
        <w:t>0.4</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14:paraId="3EF38C5F">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、社会效益指标：</w:t>
      </w:r>
    </w:p>
    <w:p w14:paraId="5A69C463">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w:t>
      </w:r>
      <w:r>
        <w:rPr>
          <w:rStyle w:val="16"/>
          <w:rFonts w:hint="eastAsia" w:ascii="仿宋_GB2312" w:hAnsi="宋体" w:eastAsia="仿宋_GB2312"/>
          <w:b w:val="0"/>
          <w:spacing w:val="-4"/>
          <w:sz w:val="28"/>
          <w:szCs w:val="28"/>
          <w:lang w:eastAsia="zh-CN"/>
        </w:rPr>
        <w:t>推动工会工作有序、顺利开展</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eastAsia="zh-CN"/>
        </w:rPr>
        <w:t>有效推动</w:t>
      </w:r>
      <w:r>
        <w:rPr>
          <w:rStyle w:val="16"/>
          <w:rFonts w:hint="eastAsia" w:ascii="仿宋_GB2312" w:hAnsi="宋体" w:eastAsia="仿宋_GB2312"/>
          <w:b w:val="0"/>
          <w:spacing w:val="-4"/>
          <w:sz w:val="28"/>
          <w:szCs w:val="28"/>
        </w:rPr>
        <w:t xml:space="preserve"> ，实际完成值：</w:t>
      </w:r>
      <w:r>
        <w:rPr>
          <w:rStyle w:val="16"/>
          <w:rFonts w:hint="eastAsia" w:ascii="仿宋_GB2312" w:hAnsi="宋体" w:eastAsia="仿宋_GB2312"/>
          <w:b w:val="0"/>
          <w:spacing w:val="-4"/>
          <w:sz w:val="28"/>
          <w:szCs w:val="28"/>
          <w:lang w:eastAsia="zh-CN"/>
        </w:rPr>
        <w:t>有效推动</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14:paraId="5DFC1FE1">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业务保障能力</w:t>
      </w:r>
      <w:r>
        <w:rPr>
          <w:rStyle w:val="16"/>
          <w:rFonts w:hint="eastAsia" w:ascii="仿宋_GB2312" w:hAnsi="宋体" w:eastAsia="仿宋_GB2312"/>
          <w:b w:val="0"/>
          <w:spacing w:val="-4"/>
          <w:sz w:val="28"/>
          <w:szCs w:val="28"/>
        </w:rPr>
        <w:t>，指标值：</w:t>
      </w:r>
      <w:r>
        <w:rPr>
          <w:rStyle w:val="16"/>
          <w:rFonts w:hint="eastAsia" w:ascii="仿宋_GB2312" w:hAnsi="宋体" w:eastAsia="仿宋_GB2312"/>
          <w:b w:val="0"/>
          <w:spacing w:val="-4"/>
          <w:sz w:val="28"/>
          <w:szCs w:val="28"/>
          <w:lang w:eastAsia="zh-CN"/>
        </w:rPr>
        <w:t>有效提升</w:t>
      </w:r>
      <w:r>
        <w:rPr>
          <w:rStyle w:val="16"/>
          <w:rFonts w:hint="eastAsia" w:ascii="仿宋_GB2312" w:hAnsi="宋体" w:eastAsia="仿宋_GB2312"/>
          <w:b w:val="0"/>
          <w:spacing w:val="-4"/>
          <w:sz w:val="28"/>
          <w:szCs w:val="28"/>
        </w:rPr>
        <w:t>，实际完成值：</w:t>
      </w:r>
      <w:r>
        <w:rPr>
          <w:rStyle w:val="16"/>
          <w:rFonts w:hint="eastAsia" w:ascii="仿宋_GB2312" w:hAnsi="宋体" w:eastAsia="仿宋_GB2312"/>
          <w:b w:val="0"/>
          <w:spacing w:val="-4"/>
          <w:sz w:val="28"/>
          <w:szCs w:val="28"/>
          <w:lang w:eastAsia="zh-CN"/>
        </w:rPr>
        <w:t>有效提升</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14:paraId="758720D6">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、满意度指标：</w:t>
      </w:r>
    </w:p>
    <w:p w14:paraId="355D45EE">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 xml:space="preserve">指标1： </w:t>
      </w:r>
      <w:r>
        <w:rPr>
          <w:rStyle w:val="16"/>
          <w:rFonts w:hint="eastAsia" w:ascii="仿宋_GB2312" w:hAnsi="宋体" w:eastAsia="仿宋_GB2312"/>
          <w:b w:val="0"/>
          <w:spacing w:val="-4"/>
          <w:sz w:val="28"/>
          <w:szCs w:val="28"/>
          <w:lang w:eastAsia="zh-CN"/>
        </w:rPr>
        <w:t>上级、政府部门满意度</w:t>
      </w:r>
      <w:r>
        <w:rPr>
          <w:rStyle w:val="16"/>
          <w:rFonts w:hint="eastAsia" w:ascii="仿宋_GB2312" w:hAnsi="宋体" w:eastAsia="仿宋_GB2312"/>
          <w:b w:val="0"/>
          <w:spacing w:val="-4"/>
          <w:sz w:val="28"/>
          <w:szCs w:val="28"/>
        </w:rPr>
        <w:t>，指标值：</w:t>
      </w:r>
      <w:r>
        <w:rPr>
          <w:rStyle w:val="16"/>
          <w:rFonts w:hint="eastAsia" w:ascii="宋体" w:hAnsi="宋体" w:eastAsia="宋体" w:cs="宋体"/>
          <w:b w:val="0"/>
          <w:spacing w:val="-4"/>
          <w:sz w:val="28"/>
          <w:szCs w:val="28"/>
        </w:rPr>
        <w:t>≧</w:t>
      </w:r>
      <w:r>
        <w:rPr>
          <w:rStyle w:val="16"/>
          <w:rFonts w:hint="eastAsia" w:ascii="宋体" w:hAnsi="宋体" w:eastAsia="宋体" w:cs="宋体"/>
          <w:b w:val="0"/>
          <w:spacing w:val="-4"/>
          <w:sz w:val="28"/>
          <w:szCs w:val="28"/>
          <w:lang w:val="en-US" w:eastAsia="zh-CN"/>
        </w:rPr>
        <w:t>98%</w:t>
      </w:r>
      <w:r>
        <w:rPr>
          <w:rStyle w:val="16"/>
          <w:rFonts w:hint="eastAsia" w:ascii="仿宋_GB2312" w:hAnsi="宋体" w:eastAsia="仿宋_GB2312"/>
          <w:b w:val="0"/>
          <w:spacing w:val="-4"/>
          <w:sz w:val="28"/>
          <w:szCs w:val="28"/>
        </w:rPr>
        <w:t>，实际完成值：</w:t>
      </w:r>
      <w:r>
        <w:rPr>
          <w:rStyle w:val="16"/>
          <w:rFonts w:hint="eastAsia" w:ascii="宋体" w:hAnsi="宋体" w:eastAsia="宋体" w:cs="宋体"/>
          <w:b w:val="0"/>
          <w:spacing w:val="-4"/>
          <w:sz w:val="28"/>
          <w:szCs w:val="28"/>
          <w:lang w:val="en-US" w:eastAsia="zh-CN"/>
        </w:rPr>
        <w:t>98%</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14:paraId="2020AD90">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困难职工满意度</w:t>
      </w:r>
      <w:r>
        <w:rPr>
          <w:rStyle w:val="16"/>
          <w:rFonts w:hint="eastAsia" w:ascii="仿宋_GB2312" w:hAnsi="宋体" w:eastAsia="仿宋_GB2312"/>
          <w:b w:val="0"/>
          <w:spacing w:val="-4"/>
          <w:sz w:val="28"/>
          <w:szCs w:val="28"/>
        </w:rPr>
        <w:t xml:space="preserve"> ，指标值：</w:t>
      </w:r>
      <w:r>
        <w:rPr>
          <w:rStyle w:val="16"/>
          <w:rFonts w:hint="eastAsia" w:ascii="宋体" w:hAnsi="宋体" w:eastAsia="宋体" w:cs="宋体"/>
          <w:b w:val="0"/>
          <w:spacing w:val="-4"/>
          <w:sz w:val="28"/>
          <w:szCs w:val="28"/>
        </w:rPr>
        <w:t>≧</w:t>
      </w:r>
      <w:r>
        <w:rPr>
          <w:rStyle w:val="16"/>
          <w:rFonts w:hint="eastAsia" w:ascii="宋体" w:hAnsi="宋体" w:eastAsia="宋体" w:cs="宋体"/>
          <w:b w:val="0"/>
          <w:spacing w:val="-4"/>
          <w:sz w:val="28"/>
          <w:szCs w:val="28"/>
          <w:lang w:val="en-US" w:eastAsia="zh-CN"/>
        </w:rPr>
        <w:t>98%</w:t>
      </w:r>
      <w:r>
        <w:rPr>
          <w:rStyle w:val="16"/>
          <w:rFonts w:hint="eastAsia" w:ascii="仿宋_GB2312" w:hAnsi="宋体" w:eastAsia="仿宋_GB2312"/>
          <w:b w:val="0"/>
          <w:spacing w:val="-4"/>
          <w:sz w:val="28"/>
          <w:szCs w:val="28"/>
        </w:rPr>
        <w:t>，实际完成值：</w:t>
      </w:r>
      <w:r>
        <w:rPr>
          <w:rStyle w:val="16"/>
          <w:rFonts w:hint="eastAsia" w:ascii="宋体" w:hAnsi="宋体" w:eastAsia="宋体" w:cs="宋体"/>
          <w:b w:val="0"/>
          <w:spacing w:val="-4"/>
          <w:sz w:val="28"/>
          <w:szCs w:val="28"/>
          <w:lang w:val="en-US" w:eastAsia="zh-CN"/>
        </w:rPr>
        <w:t>98%</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14:paraId="6C7AE45D">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全县在职职工满意度</w:t>
      </w:r>
      <w:r>
        <w:rPr>
          <w:rStyle w:val="16"/>
          <w:rFonts w:hint="eastAsia" w:ascii="仿宋_GB2312" w:hAnsi="宋体" w:eastAsia="仿宋_GB2312"/>
          <w:b w:val="0"/>
          <w:spacing w:val="-4"/>
          <w:sz w:val="28"/>
          <w:szCs w:val="28"/>
        </w:rPr>
        <w:t xml:space="preserve"> ，指标值：</w:t>
      </w:r>
      <w:r>
        <w:rPr>
          <w:rStyle w:val="16"/>
          <w:rFonts w:hint="eastAsia" w:ascii="宋体" w:hAnsi="宋体" w:eastAsia="宋体" w:cs="宋体"/>
          <w:b w:val="0"/>
          <w:spacing w:val="-4"/>
          <w:sz w:val="28"/>
          <w:szCs w:val="28"/>
        </w:rPr>
        <w:t>≧</w:t>
      </w:r>
      <w:r>
        <w:rPr>
          <w:rStyle w:val="16"/>
          <w:rFonts w:hint="eastAsia" w:ascii="宋体" w:hAnsi="宋体" w:eastAsia="宋体" w:cs="宋体"/>
          <w:b w:val="0"/>
          <w:spacing w:val="-4"/>
          <w:sz w:val="28"/>
          <w:szCs w:val="28"/>
          <w:lang w:val="en-US" w:eastAsia="zh-CN"/>
        </w:rPr>
        <w:t>98%</w:t>
      </w:r>
      <w:r>
        <w:rPr>
          <w:rStyle w:val="16"/>
          <w:rFonts w:hint="eastAsia" w:ascii="仿宋_GB2312" w:hAnsi="宋体" w:eastAsia="仿宋_GB2312"/>
          <w:b w:val="0"/>
          <w:spacing w:val="-4"/>
          <w:sz w:val="28"/>
          <w:szCs w:val="28"/>
        </w:rPr>
        <w:t>，实际完成值：</w:t>
      </w:r>
      <w:r>
        <w:rPr>
          <w:rStyle w:val="16"/>
          <w:rFonts w:hint="eastAsia" w:ascii="宋体" w:hAnsi="宋体" w:eastAsia="宋体" w:cs="宋体"/>
          <w:b w:val="0"/>
          <w:spacing w:val="-4"/>
          <w:sz w:val="28"/>
          <w:szCs w:val="28"/>
          <w:lang w:val="en-US" w:eastAsia="zh-CN"/>
        </w:rPr>
        <w:t>98%</w:t>
      </w:r>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14:paraId="3A23ACD3">
      <w:pPr>
        <w:spacing w:line="360" w:lineRule="auto"/>
      </w:pPr>
    </w:p>
    <w:p w14:paraId="6833B935">
      <w:pPr>
        <w:pStyle w:val="3"/>
        <w:spacing w:line="360" w:lineRule="auto"/>
        <w:rPr>
          <w:rStyle w:val="16"/>
          <w:rFonts w:ascii="仿宋" w:hAnsi="仿宋" w:eastAsia="仿宋"/>
          <w:b/>
          <w:bCs/>
          <w:sz w:val="36"/>
          <w:szCs w:val="36"/>
        </w:rPr>
      </w:pPr>
      <w:bookmarkStart w:id="27"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28" w:name="_Hlk70450148"/>
      <w:r>
        <w:rPr>
          <w:rStyle w:val="16"/>
          <w:rFonts w:hint="eastAsia" w:ascii="仿宋" w:hAnsi="仿宋" w:eastAsia="仿宋"/>
          <w:b/>
          <w:bCs/>
          <w:sz w:val="36"/>
          <w:szCs w:val="36"/>
        </w:rPr>
        <w:t>《部门整体支出绩效目标自评表》</w:t>
      </w:r>
      <w:bookmarkEnd w:id="27"/>
      <w:bookmarkEnd w:id="28"/>
    </w:p>
    <w:p w14:paraId="212D3EB0">
      <w:r>
        <w:br w:type="page"/>
      </w:r>
    </w:p>
    <w:tbl>
      <w:tblPr>
        <w:tblStyle w:val="14"/>
        <w:tblW w:w="8213" w:type="dxa"/>
        <w:tblInd w:w="93" w:type="dxa"/>
        <w:tblLayout w:type="fixed"/>
        <w:tblCellMar>
          <w:top w:w="0" w:type="dxa"/>
          <w:left w:w="108" w:type="dxa"/>
          <w:bottom w:w="0" w:type="dxa"/>
          <w:right w:w="108" w:type="dxa"/>
        </w:tblCellMar>
      </w:tblPr>
      <w:tblGrid>
        <w:gridCol w:w="732"/>
        <w:gridCol w:w="1114"/>
        <w:gridCol w:w="1661"/>
        <w:gridCol w:w="784"/>
        <w:gridCol w:w="784"/>
        <w:gridCol w:w="785"/>
        <w:gridCol w:w="784"/>
        <w:gridCol w:w="392"/>
        <w:gridCol w:w="392"/>
        <w:gridCol w:w="785"/>
      </w:tblGrid>
      <w:tr w14:paraId="0A4649A7">
        <w:tblPrEx>
          <w:tblCellMar>
            <w:top w:w="0" w:type="dxa"/>
            <w:left w:w="108" w:type="dxa"/>
            <w:bottom w:w="0" w:type="dxa"/>
            <w:right w:w="108" w:type="dxa"/>
          </w:tblCellMar>
        </w:tblPrEx>
        <w:trPr>
          <w:trHeight w:val="405" w:hRule="atLeast"/>
        </w:trPr>
        <w:tc>
          <w:tcPr>
            <w:tcW w:w="8213" w:type="dxa"/>
            <w:gridSpan w:val="10"/>
            <w:tcBorders>
              <w:top w:val="nil"/>
              <w:left w:val="nil"/>
              <w:bottom w:val="nil"/>
              <w:right w:val="nil"/>
            </w:tcBorders>
            <w:shd w:val="clear" w:color="auto" w:fill="auto"/>
            <w:vAlign w:val="center"/>
          </w:tcPr>
          <w:p w14:paraId="03784479">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14:paraId="3F027E28">
        <w:tblPrEx>
          <w:tblCellMar>
            <w:top w:w="0" w:type="dxa"/>
            <w:left w:w="108" w:type="dxa"/>
            <w:bottom w:w="0" w:type="dxa"/>
            <w:right w:w="108" w:type="dxa"/>
          </w:tblCellMar>
        </w:tblPrEx>
        <w:trPr>
          <w:trHeight w:val="285" w:hRule="atLeast"/>
        </w:trPr>
        <w:tc>
          <w:tcPr>
            <w:tcW w:w="8213" w:type="dxa"/>
            <w:gridSpan w:val="10"/>
            <w:tcBorders>
              <w:top w:val="nil"/>
              <w:left w:val="nil"/>
              <w:bottom w:val="nil"/>
              <w:right w:val="nil"/>
            </w:tcBorders>
            <w:shd w:val="clear" w:color="auto" w:fill="auto"/>
            <w:vAlign w:val="center"/>
          </w:tcPr>
          <w:p w14:paraId="130E56AC">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14:paraId="6D044423">
        <w:tblPrEx>
          <w:tblCellMar>
            <w:top w:w="0" w:type="dxa"/>
            <w:left w:w="108" w:type="dxa"/>
            <w:bottom w:w="0" w:type="dxa"/>
            <w:right w:w="108" w:type="dxa"/>
          </w:tblCellMar>
        </w:tblPrEx>
        <w:trPr>
          <w:trHeight w:val="285" w:hRule="atLeast"/>
        </w:trPr>
        <w:tc>
          <w:tcPr>
            <w:tcW w:w="1846" w:type="dxa"/>
            <w:gridSpan w:val="2"/>
            <w:tcBorders>
              <w:top w:val="nil"/>
              <w:left w:val="nil"/>
              <w:bottom w:val="nil"/>
              <w:right w:val="nil"/>
            </w:tcBorders>
            <w:shd w:val="clear" w:color="auto" w:fill="auto"/>
            <w:noWrap/>
            <w:vAlign w:val="center"/>
          </w:tcPr>
          <w:p w14:paraId="135DEB9A">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367" w:type="dxa"/>
            <w:gridSpan w:val="8"/>
            <w:tcBorders>
              <w:top w:val="nil"/>
              <w:left w:val="nil"/>
              <w:bottom w:val="nil"/>
              <w:right w:val="nil"/>
            </w:tcBorders>
            <w:shd w:val="clear" w:color="auto" w:fill="auto"/>
            <w:noWrap/>
            <w:vAlign w:val="center"/>
          </w:tcPr>
          <w:p w14:paraId="7FD8C78C">
            <w:pPr>
              <w:jc w:val="center"/>
              <w:rPr>
                <w:rFonts w:ascii="宋体" w:hAnsi="宋体" w:eastAsia="宋体" w:cs="宋体"/>
                <w:color w:val="000000"/>
                <w:kern w:val="0"/>
                <w:sz w:val="22"/>
                <w:szCs w:val="22"/>
              </w:rPr>
            </w:pPr>
          </w:p>
        </w:tc>
      </w:tr>
      <w:tr w14:paraId="402C1082">
        <w:tblPrEx>
          <w:tblCellMar>
            <w:top w:w="0" w:type="dxa"/>
            <w:left w:w="108" w:type="dxa"/>
            <w:bottom w:w="0" w:type="dxa"/>
            <w:right w:w="108" w:type="dxa"/>
          </w:tblCellMar>
        </w:tblPrEx>
        <w:trPr>
          <w:trHeight w:val="285" w:hRule="atLeast"/>
        </w:trPr>
        <w:tc>
          <w:tcPr>
            <w:tcW w:w="73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5532BCDB">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14" w:type="dxa"/>
            <w:vMerge w:val="restart"/>
            <w:tcBorders>
              <w:top w:val="single" w:color="auto" w:sz="4" w:space="0"/>
              <w:left w:val="nil"/>
              <w:bottom w:val="single" w:color="auto" w:sz="4" w:space="0"/>
              <w:right w:val="single" w:color="auto" w:sz="4" w:space="0"/>
            </w:tcBorders>
            <w:shd w:val="clear" w:color="auto" w:fill="auto"/>
            <w:vAlign w:val="center"/>
          </w:tcPr>
          <w:p w14:paraId="5672C87D">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661" w:type="dxa"/>
            <w:vMerge w:val="restart"/>
            <w:tcBorders>
              <w:top w:val="single" w:color="auto" w:sz="4" w:space="0"/>
              <w:left w:val="nil"/>
              <w:bottom w:val="single" w:color="auto" w:sz="4" w:space="0"/>
              <w:right w:val="single" w:color="auto" w:sz="4" w:space="0"/>
            </w:tcBorders>
            <w:shd w:val="clear" w:color="auto" w:fill="auto"/>
            <w:vAlign w:val="center"/>
          </w:tcPr>
          <w:p w14:paraId="0ACDB5E0">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14:paraId="58330185">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353" w:type="dxa"/>
            <w:gridSpan w:val="4"/>
            <w:tcBorders>
              <w:top w:val="single" w:color="auto" w:sz="4" w:space="0"/>
              <w:left w:val="nil"/>
              <w:bottom w:val="single" w:color="auto" w:sz="4" w:space="0"/>
              <w:right w:val="single" w:color="auto" w:sz="4" w:space="0"/>
            </w:tcBorders>
            <w:shd w:val="clear" w:color="auto" w:fill="auto"/>
            <w:vAlign w:val="center"/>
          </w:tcPr>
          <w:p w14:paraId="6CFEE14E">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14:paraId="73C9AEB5">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14:paraId="6ADA5E52">
            <w:pPr>
              <w:jc w:val="center"/>
              <w:rPr>
                <w:rFonts w:ascii="宋体" w:hAnsi="宋体" w:eastAsia="宋体" w:cs="宋体"/>
                <w:kern w:val="0"/>
                <w:sz w:val="24"/>
              </w:rPr>
            </w:pPr>
          </w:p>
        </w:tc>
        <w:tc>
          <w:tcPr>
            <w:tcW w:w="111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0633AF40">
            <w:pPr>
              <w:jc w:val="center"/>
              <w:rPr>
                <w:rFonts w:ascii="宋体" w:hAnsi="宋体" w:eastAsia="宋体" w:cs="宋体"/>
                <w:kern w:val="0"/>
                <w:sz w:val="24"/>
              </w:rPr>
            </w:pPr>
          </w:p>
        </w:tc>
        <w:tc>
          <w:tcPr>
            <w:tcW w:w="1661" w:type="dxa"/>
            <w:vMerge w:val="continue"/>
            <w:tcBorders>
              <w:top w:val="nil"/>
              <w:left w:val="single" w:color="auto" w:sz="4" w:space="0"/>
              <w:bottom w:val="single" w:color="auto" w:sz="4" w:space="0"/>
              <w:right w:val="single" w:color="auto" w:sz="4" w:space="0"/>
            </w:tcBorders>
            <w:shd w:val="clear" w:color="auto" w:fill="auto"/>
            <w:vAlign w:val="center"/>
          </w:tcPr>
          <w:p w14:paraId="77939A43">
            <w:pPr>
              <w:jc w:val="center"/>
              <w:rPr>
                <w:rFonts w:ascii="宋体" w:hAnsi="宋体" w:eastAsia="宋体" w:cs="宋体"/>
                <w:kern w:val="0"/>
                <w:sz w:val="24"/>
              </w:rPr>
            </w:pPr>
          </w:p>
        </w:tc>
        <w:tc>
          <w:tcPr>
            <w:tcW w:w="784" w:type="dxa"/>
            <w:tcBorders>
              <w:top w:val="single" w:color="auto" w:sz="4" w:space="0"/>
              <w:left w:val="nil"/>
              <w:bottom w:val="single" w:color="auto" w:sz="4" w:space="0"/>
              <w:right w:val="single" w:color="auto" w:sz="4" w:space="0"/>
            </w:tcBorders>
            <w:shd w:val="clear" w:color="auto" w:fill="auto"/>
            <w:vAlign w:val="center"/>
          </w:tcPr>
          <w:p w14:paraId="72BAA1F3">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tcBorders>
              <w:top w:val="single" w:color="auto" w:sz="4" w:space="0"/>
              <w:left w:val="nil"/>
              <w:bottom w:val="single" w:color="auto" w:sz="4" w:space="0"/>
              <w:right w:val="single" w:color="auto" w:sz="4" w:space="0"/>
            </w:tcBorders>
            <w:shd w:val="clear" w:color="auto" w:fill="auto"/>
            <w:vAlign w:val="center"/>
          </w:tcPr>
          <w:p w14:paraId="2DC727C4">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14:paraId="1B05C89D">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其他资金</w:t>
            </w:r>
          </w:p>
        </w:tc>
        <w:tc>
          <w:tcPr>
            <w:tcW w:w="784" w:type="dxa"/>
            <w:tcBorders>
              <w:top w:val="single" w:color="auto" w:sz="4" w:space="0"/>
              <w:left w:val="nil"/>
              <w:bottom w:val="single" w:color="auto" w:sz="4" w:space="0"/>
              <w:right w:val="single" w:color="auto" w:sz="4" w:space="0"/>
            </w:tcBorders>
            <w:shd w:val="clear" w:color="auto" w:fill="auto"/>
            <w:noWrap/>
            <w:vAlign w:val="center"/>
          </w:tcPr>
          <w:p w14:paraId="0B030976">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784" w:type="dxa"/>
            <w:gridSpan w:val="2"/>
            <w:tcBorders>
              <w:top w:val="single" w:color="auto" w:sz="4" w:space="0"/>
              <w:left w:val="nil"/>
              <w:bottom w:val="single" w:color="auto" w:sz="4" w:space="0"/>
              <w:right w:val="single" w:color="auto" w:sz="4" w:space="0"/>
            </w:tcBorders>
            <w:shd w:val="clear" w:color="auto" w:fill="auto"/>
            <w:noWrap/>
            <w:vAlign w:val="center"/>
          </w:tcPr>
          <w:p w14:paraId="1072BC67">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14:paraId="484DCCF6">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14:paraId="1EB3A7AF">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5740B0E1">
            <w:pPr>
              <w:jc w:val="center"/>
              <w:rPr>
                <w:rFonts w:ascii="宋体" w:hAnsi="宋体" w:eastAsia="宋体" w:cs="宋体"/>
                <w:kern w:val="0"/>
                <w:sz w:val="24"/>
              </w:rPr>
            </w:pPr>
          </w:p>
        </w:tc>
        <w:tc>
          <w:tcPr>
            <w:tcW w:w="1114" w:type="dxa"/>
            <w:tcBorders>
              <w:top w:val="single" w:color="auto" w:sz="4" w:space="0"/>
              <w:left w:val="single" w:color="auto" w:sz="4" w:space="0"/>
              <w:bottom w:val="single" w:color="000000" w:sz="4" w:space="0"/>
              <w:right w:val="single" w:color="000000" w:sz="4" w:space="0"/>
            </w:tcBorders>
            <w:vAlign w:val="center"/>
          </w:tcPr>
          <w:p w14:paraId="5C24251A">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661" w:type="dxa"/>
            <w:tcBorders>
              <w:top w:val="nil"/>
              <w:left w:val="single" w:color="auto" w:sz="4" w:space="0"/>
              <w:bottom w:val="single" w:color="auto" w:sz="4" w:space="0"/>
              <w:right w:val="single" w:color="auto" w:sz="4" w:space="0"/>
            </w:tcBorders>
            <w:vAlign w:val="center"/>
          </w:tcPr>
          <w:p w14:paraId="32499ADD">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用于保障部门单位人员发放工资福利支出及对个人和家庭补助</w:t>
            </w:r>
          </w:p>
        </w:tc>
        <w:tc>
          <w:tcPr>
            <w:tcW w:w="784" w:type="dxa"/>
            <w:tcBorders>
              <w:top w:val="nil"/>
              <w:left w:val="nil"/>
              <w:bottom w:val="single" w:color="auto" w:sz="4" w:space="0"/>
              <w:right w:val="single" w:color="auto" w:sz="4" w:space="0"/>
            </w:tcBorders>
            <w:shd w:val="clear" w:color="auto" w:fill="auto"/>
            <w:vAlign w:val="center"/>
          </w:tcPr>
          <w:p w14:paraId="10C8FD69">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79.54 </w:t>
            </w:r>
          </w:p>
        </w:tc>
        <w:tc>
          <w:tcPr>
            <w:tcW w:w="784" w:type="dxa"/>
            <w:tcBorders>
              <w:top w:val="nil"/>
              <w:left w:val="nil"/>
              <w:bottom w:val="single" w:color="auto" w:sz="4" w:space="0"/>
              <w:right w:val="single" w:color="auto" w:sz="4" w:space="0"/>
            </w:tcBorders>
            <w:shd w:val="clear" w:color="auto" w:fill="auto"/>
            <w:vAlign w:val="center"/>
          </w:tcPr>
          <w:p w14:paraId="0723B667">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79.54 </w:t>
            </w:r>
          </w:p>
        </w:tc>
        <w:tc>
          <w:tcPr>
            <w:tcW w:w="785" w:type="dxa"/>
            <w:tcBorders>
              <w:top w:val="nil"/>
              <w:left w:val="nil"/>
              <w:bottom w:val="single" w:color="auto" w:sz="4" w:space="0"/>
              <w:right w:val="single" w:color="auto" w:sz="4" w:space="0"/>
            </w:tcBorders>
            <w:shd w:val="clear" w:color="auto" w:fill="auto"/>
            <w:vAlign w:val="center"/>
          </w:tcPr>
          <w:p w14:paraId="0E0988BB">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14:paraId="5999FC26">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79.54 </w:t>
            </w:r>
          </w:p>
        </w:tc>
        <w:tc>
          <w:tcPr>
            <w:tcW w:w="784" w:type="dxa"/>
            <w:gridSpan w:val="2"/>
            <w:tcBorders>
              <w:top w:val="nil"/>
              <w:left w:val="nil"/>
              <w:bottom w:val="single" w:color="auto" w:sz="4" w:space="0"/>
              <w:right w:val="single" w:color="auto" w:sz="4" w:space="0"/>
            </w:tcBorders>
            <w:shd w:val="clear" w:color="auto" w:fill="auto"/>
            <w:vAlign w:val="center"/>
          </w:tcPr>
          <w:p w14:paraId="633D7F1C">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79.54 </w:t>
            </w:r>
          </w:p>
        </w:tc>
        <w:tc>
          <w:tcPr>
            <w:tcW w:w="785" w:type="dxa"/>
            <w:tcBorders>
              <w:top w:val="nil"/>
              <w:left w:val="nil"/>
              <w:bottom w:val="single" w:color="auto" w:sz="4" w:space="0"/>
              <w:right w:val="single" w:color="auto" w:sz="4" w:space="0"/>
            </w:tcBorders>
            <w:shd w:val="clear" w:color="auto" w:fill="auto"/>
            <w:vAlign w:val="center"/>
          </w:tcPr>
          <w:p w14:paraId="55AFC5F3">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14:paraId="0BE0B954">
        <w:tblPrEx>
          <w:tblCellMar>
            <w:top w:w="0" w:type="dxa"/>
            <w:left w:w="108" w:type="dxa"/>
            <w:bottom w:w="0" w:type="dxa"/>
            <w:right w:w="108" w:type="dxa"/>
          </w:tblCellMar>
        </w:tblPrEx>
        <w:trPr>
          <w:trHeight w:val="705" w:hRule="atLeast"/>
        </w:trPr>
        <w:tc>
          <w:tcPr>
            <w:tcW w:w="732" w:type="dxa"/>
            <w:vMerge w:val="continue"/>
            <w:tcBorders>
              <w:top w:val="nil"/>
              <w:left w:val="single" w:color="auto" w:sz="4" w:space="0"/>
              <w:bottom w:val="single" w:color="auto" w:sz="4" w:space="0"/>
              <w:right w:val="single" w:color="auto" w:sz="4" w:space="0"/>
            </w:tcBorders>
            <w:vAlign w:val="center"/>
          </w:tcPr>
          <w:p w14:paraId="67F80726">
            <w:pPr>
              <w:jc w:val="center"/>
              <w:rPr>
                <w:rFonts w:ascii="宋体" w:hAnsi="宋体" w:eastAsia="宋体" w:cs="宋体"/>
                <w:kern w:val="0"/>
                <w:sz w:val="24"/>
              </w:rPr>
            </w:pPr>
          </w:p>
        </w:tc>
        <w:tc>
          <w:tcPr>
            <w:tcW w:w="1114" w:type="dxa"/>
            <w:tcBorders>
              <w:top w:val="single" w:color="auto" w:sz="4" w:space="0"/>
              <w:left w:val="nil"/>
              <w:bottom w:val="single" w:color="auto" w:sz="4" w:space="0"/>
              <w:right w:val="single" w:color="000000" w:sz="4" w:space="0"/>
            </w:tcBorders>
            <w:shd w:val="clear" w:color="auto" w:fill="auto"/>
            <w:vAlign w:val="center"/>
          </w:tcPr>
          <w:p w14:paraId="629C8B0B">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1661" w:type="dxa"/>
            <w:tcBorders>
              <w:top w:val="nil"/>
              <w:left w:val="nil"/>
              <w:bottom w:val="single" w:color="auto" w:sz="4" w:space="0"/>
              <w:right w:val="nil"/>
            </w:tcBorders>
            <w:shd w:val="clear" w:color="auto" w:fill="auto"/>
            <w:vAlign w:val="center"/>
          </w:tcPr>
          <w:p w14:paraId="46D0750A">
            <w:pPr>
              <w:keepNext w:val="0"/>
              <w:keepLines w:val="0"/>
              <w:widowControl/>
              <w:suppressLineNumbers w:val="0"/>
              <w:jc w:val="left"/>
              <w:textAlignment w:val="center"/>
              <w:rPr>
                <w:rFonts w:hint="eastAsia" w:ascii="宋体" w:hAnsi="宋体" w:eastAsia="宋体" w:cs="宋体"/>
                <w:kern w:val="0"/>
                <w:sz w:val="24"/>
                <w:lang w:eastAsia="zh-CN"/>
              </w:rPr>
            </w:pPr>
            <w:r>
              <w:rPr>
                <w:rFonts w:hint="eastAsia" w:ascii="宋体" w:hAnsi="宋体" w:eastAsia="宋体" w:cs="宋体"/>
                <w:i w:val="0"/>
                <w:iCs w:val="0"/>
                <w:color w:val="000000"/>
                <w:kern w:val="0"/>
                <w:sz w:val="20"/>
                <w:szCs w:val="20"/>
                <w:u w:val="none"/>
                <w:lang w:val="en-US" w:eastAsia="zh-CN" w:bidi="ar"/>
              </w:rPr>
              <w:t>用于日常办公费、取暖费、三公经费、工会经费、福利费及其它商品和服务支出</w:t>
            </w:r>
          </w:p>
        </w:tc>
        <w:tc>
          <w:tcPr>
            <w:tcW w:w="784" w:type="dxa"/>
            <w:tcBorders>
              <w:top w:val="nil"/>
              <w:left w:val="single" w:color="auto" w:sz="4" w:space="0"/>
              <w:bottom w:val="single" w:color="auto" w:sz="4" w:space="0"/>
              <w:right w:val="single" w:color="auto" w:sz="4" w:space="0"/>
            </w:tcBorders>
            <w:shd w:val="clear" w:color="auto" w:fill="auto"/>
            <w:vAlign w:val="center"/>
          </w:tcPr>
          <w:p w14:paraId="42EC38B4">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11.50 </w:t>
            </w:r>
          </w:p>
        </w:tc>
        <w:tc>
          <w:tcPr>
            <w:tcW w:w="784" w:type="dxa"/>
            <w:tcBorders>
              <w:top w:val="nil"/>
              <w:left w:val="nil"/>
              <w:bottom w:val="single" w:color="auto" w:sz="4" w:space="0"/>
              <w:right w:val="single" w:color="auto" w:sz="4" w:space="0"/>
            </w:tcBorders>
            <w:shd w:val="clear" w:color="auto" w:fill="auto"/>
            <w:vAlign w:val="center"/>
          </w:tcPr>
          <w:p w14:paraId="57FA09D8">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11.50 </w:t>
            </w:r>
          </w:p>
        </w:tc>
        <w:tc>
          <w:tcPr>
            <w:tcW w:w="785" w:type="dxa"/>
            <w:tcBorders>
              <w:top w:val="nil"/>
              <w:left w:val="nil"/>
              <w:bottom w:val="single" w:color="auto" w:sz="4" w:space="0"/>
              <w:right w:val="single" w:color="auto" w:sz="4" w:space="0"/>
            </w:tcBorders>
            <w:shd w:val="clear" w:color="auto" w:fill="auto"/>
            <w:vAlign w:val="center"/>
          </w:tcPr>
          <w:p w14:paraId="7D0AE9BD">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14:paraId="7F8E07FC">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11.50 </w:t>
            </w:r>
          </w:p>
        </w:tc>
        <w:tc>
          <w:tcPr>
            <w:tcW w:w="784" w:type="dxa"/>
            <w:gridSpan w:val="2"/>
            <w:tcBorders>
              <w:top w:val="nil"/>
              <w:left w:val="nil"/>
              <w:bottom w:val="single" w:color="auto" w:sz="4" w:space="0"/>
              <w:right w:val="single" w:color="auto" w:sz="4" w:space="0"/>
            </w:tcBorders>
            <w:shd w:val="clear" w:color="auto" w:fill="auto"/>
            <w:vAlign w:val="center"/>
          </w:tcPr>
          <w:p w14:paraId="78E30A04">
            <w:pPr>
              <w:keepNext w:val="0"/>
              <w:keepLines w:val="0"/>
              <w:widowControl/>
              <w:suppressLineNumbers w:val="0"/>
              <w:jc w:val="center"/>
              <w:textAlignment w:val="center"/>
              <w:rPr>
                <w:rFonts w:ascii="宋体" w:hAnsi="宋体" w:eastAsia="宋体" w:cs="宋体"/>
                <w:kern w:val="0"/>
                <w:sz w:val="24"/>
                <w:lang w:val="en-US"/>
              </w:rPr>
            </w:pPr>
            <w:r>
              <w:rPr>
                <w:rFonts w:hint="eastAsia" w:ascii="宋体" w:hAnsi="宋体" w:eastAsia="宋体" w:cs="宋体"/>
                <w:i w:val="0"/>
                <w:iCs w:val="0"/>
                <w:color w:val="000000"/>
                <w:kern w:val="0"/>
                <w:sz w:val="20"/>
                <w:szCs w:val="20"/>
                <w:u w:val="none"/>
                <w:lang w:val="en-US" w:eastAsia="zh-CN" w:bidi="ar"/>
              </w:rPr>
              <w:t xml:space="preserve">11.50 </w:t>
            </w:r>
          </w:p>
        </w:tc>
        <w:tc>
          <w:tcPr>
            <w:tcW w:w="785" w:type="dxa"/>
            <w:tcBorders>
              <w:top w:val="nil"/>
              <w:left w:val="nil"/>
              <w:bottom w:val="single" w:color="auto" w:sz="4" w:space="0"/>
              <w:right w:val="single" w:color="auto" w:sz="4" w:space="0"/>
            </w:tcBorders>
            <w:shd w:val="clear" w:color="auto" w:fill="auto"/>
            <w:vAlign w:val="center"/>
          </w:tcPr>
          <w:p w14:paraId="237DD833">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14:paraId="7B94B4AF">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11BB2150">
            <w:pPr>
              <w:jc w:val="center"/>
              <w:rPr>
                <w:rFonts w:ascii="宋体" w:hAnsi="宋体" w:eastAsia="宋体" w:cs="宋体"/>
                <w:kern w:val="0"/>
                <w:sz w:val="24"/>
              </w:rPr>
            </w:pPr>
          </w:p>
        </w:tc>
        <w:tc>
          <w:tcPr>
            <w:tcW w:w="2775" w:type="dxa"/>
            <w:gridSpan w:val="2"/>
            <w:tcBorders>
              <w:top w:val="single" w:color="auto" w:sz="4" w:space="0"/>
              <w:left w:val="nil"/>
              <w:bottom w:val="single" w:color="auto" w:sz="4" w:space="0"/>
              <w:right w:val="single" w:color="000000" w:sz="4" w:space="0"/>
            </w:tcBorders>
            <w:shd w:val="clear" w:color="auto" w:fill="auto"/>
            <w:vAlign w:val="center"/>
          </w:tcPr>
          <w:p w14:paraId="06443D75">
            <w:pPr>
              <w:keepNext w:val="0"/>
              <w:keepLines w:val="0"/>
              <w:widowControl/>
              <w:suppressLineNumbers w:val="0"/>
              <w:jc w:val="center"/>
              <w:textAlignment w:val="center"/>
              <w:rPr>
                <w:rFonts w:hint="eastAsia" w:ascii="宋体" w:hAnsi="宋体" w:eastAsia="宋体" w:cs="宋体"/>
                <w:kern w:val="0"/>
                <w:sz w:val="24"/>
                <w:lang w:eastAsia="zh-CN"/>
              </w:rPr>
            </w:pPr>
            <w:r>
              <w:rPr>
                <w:rFonts w:hint="eastAsia" w:ascii="宋体" w:hAnsi="宋体" w:eastAsia="宋体" w:cs="宋体"/>
                <w:b/>
                <w:bCs/>
                <w:i w:val="0"/>
                <w:iCs w:val="0"/>
                <w:color w:val="000000"/>
                <w:kern w:val="0"/>
                <w:sz w:val="24"/>
                <w:szCs w:val="24"/>
                <w:u w:val="none"/>
                <w:lang w:val="en-US" w:eastAsia="zh-CN" w:bidi="ar"/>
              </w:rPr>
              <w:t>金额合计</w:t>
            </w:r>
          </w:p>
        </w:tc>
        <w:tc>
          <w:tcPr>
            <w:tcW w:w="784" w:type="dxa"/>
            <w:tcBorders>
              <w:top w:val="nil"/>
              <w:left w:val="single" w:color="auto" w:sz="4" w:space="0"/>
              <w:bottom w:val="single" w:color="auto" w:sz="4" w:space="0"/>
              <w:right w:val="single" w:color="auto" w:sz="4" w:space="0"/>
            </w:tcBorders>
            <w:shd w:val="clear" w:color="auto" w:fill="auto"/>
            <w:vAlign w:val="center"/>
          </w:tcPr>
          <w:p w14:paraId="42DA116D">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91.04 </w:t>
            </w:r>
          </w:p>
        </w:tc>
        <w:tc>
          <w:tcPr>
            <w:tcW w:w="784" w:type="dxa"/>
            <w:tcBorders>
              <w:top w:val="nil"/>
              <w:left w:val="nil"/>
              <w:bottom w:val="single" w:color="auto" w:sz="4" w:space="0"/>
              <w:right w:val="single" w:color="auto" w:sz="4" w:space="0"/>
            </w:tcBorders>
            <w:shd w:val="clear" w:color="auto" w:fill="auto"/>
            <w:vAlign w:val="center"/>
          </w:tcPr>
          <w:p w14:paraId="6C089D96">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91.04 </w:t>
            </w:r>
          </w:p>
        </w:tc>
        <w:tc>
          <w:tcPr>
            <w:tcW w:w="785" w:type="dxa"/>
            <w:tcBorders>
              <w:top w:val="nil"/>
              <w:left w:val="nil"/>
              <w:bottom w:val="single" w:color="auto" w:sz="4" w:space="0"/>
              <w:right w:val="single" w:color="auto" w:sz="4" w:space="0"/>
            </w:tcBorders>
            <w:shd w:val="clear" w:color="auto" w:fill="auto"/>
            <w:vAlign w:val="center"/>
          </w:tcPr>
          <w:p w14:paraId="27173E04">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14:paraId="25DC6F7B">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91.04 </w:t>
            </w:r>
          </w:p>
        </w:tc>
        <w:tc>
          <w:tcPr>
            <w:tcW w:w="784" w:type="dxa"/>
            <w:gridSpan w:val="2"/>
            <w:tcBorders>
              <w:top w:val="nil"/>
              <w:left w:val="nil"/>
              <w:bottom w:val="single" w:color="auto" w:sz="4" w:space="0"/>
              <w:right w:val="single" w:color="auto" w:sz="4" w:space="0"/>
            </w:tcBorders>
            <w:shd w:val="clear" w:color="auto" w:fill="auto"/>
            <w:vAlign w:val="center"/>
          </w:tcPr>
          <w:p w14:paraId="530A3C90">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91.04 </w:t>
            </w:r>
          </w:p>
        </w:tc>
        <w:tc>
          <w:tcPr>
            <w:tcW w:w="785" w:type="dxa"/>
            <w:tcBorders>
              <w:top w:val="nil"/>
              <w:left w:val="nil"/>
              <w:bottom w:val="single" w:color="auto" w:sz="4" w:space="0"/>
              <w:right w:val="single" w:color="auto" w:sz="4" w:space="0"/>
            </w:tcBorders>
            <w:shd w:val="clear" w:color="auto" w:fill="auto"/>
            <w:vAlign w:val="center"/>
          </w:tcPr>
          <w:p w14:paraId="2F881A65">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r>
      <w:tr w14:paraId="5A3DA0CE">
        <w:tblPrEx>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14:paraId="6736E24F">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59" w:type="dxa"/>
            <w:gridSpan w:val="3"/>
            <w:tcBorders>
              <w:top w:val="single" w:color="auto" w:sz="4" w:space="0"/>
              <w:left w:val="nil"/>
              <w:bottom w:val="single" w:color="auto" w:sz="4" w:space="0"/>
              <w:right w:val="single" w:color="000000" w:sz="4" w:space="0"/>
            </w:tcBorders>
            <w:shd w:val="clear" w:color="auto" w:fill="auto"/>
            <w:vAlign w:val="center"/>
          </w:tcPr>
          <w:p w14:paraId="5E3E47D1">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3922" w:type="dxa"/>
            <w:gridSpan w:val="6"/>
            <w:tcBorders>
              <w:top w:val="nil"/>
              <w:left w:val="nil"/>
              <w:bottom w:val="single" w:color="auto" w:sz="4" w:space="0"/>
              <w:right w:val="single" w:color="auto" w:sz="4" w:space="0"/>
            </w:tcBorders>
            <w:shd w:val="clear" w:color="auto" w:fill="auto"/>
            <w:vAlign w:val="center"/>
          </w:tcPr>
          <w:p w14:paraId="5F5C0438">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实际完成目标</w:t>
            </w:r>
          </w:p>
        </w:tc>
      </w:tr>
      <w:tr w14:paraId="4CBC2881">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31264803">
            <w:pPr>
              <w:jc w:val="center"/>
              <w:rPr>
                <w:rFonts w:ascii="宋体" w:hAnsi="宋体" w:eastAsia="宋体" w:cs="宋体"/>
                <w:kern w:val="0"/>
                <w:sz w:val="24"/>
              </w:rPr>
            </w:pPr>
          </w:p>
        </w:tc>
        <w:tc>
          <w:tcPr>
            <w:tcW w:w="3559" w:type="dxa"/>
            <w:gridSpan w:val="3"/>
            <w:tcBorders>
              <w:top w:val="single" w:color="auto" w:sz="4" w:space="0"/>
              <w:left w:val="nil"/>
              <w:bottom w:val="single" w:color="auto" w:sz="4" w:space="0"/>
              <w:right w:val="single" w:color="000000" w:sz="4" w:space="0"/>
            </w:tcBorders>
            <w:shd w:val="clear" w:color="auto" w:fill="auto"/>
            <w:vAlign w:val="center"/>
          </w:tcPr>
          <w:p w14:paraId="5EAC9D76">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目标1、2021年特克斯县总工会将维护和发展职工劳动经济权益，具体包括：推进职业教育、企业民族管理、集体协商等立法修法工作，参与制定就业优先政策，推动建立互联网平台用工等新就业形态基本劳动标准。 2、依法履行民主程序，做好职工转岗安置和就业培训。 3、推动最低工资标准正常调整，解决职工漏保、断保问题。4、开展各种劳动竞赛等群众性安全生产和职业病防治活动。维护女职工合法权益和特殊利益。5、加强困难职工的矿帮扶面积和帮扶资金的有效落实及送温暖送清凉工作的稳步开展，促进社会稳步健康有序进行。</w:t>
            </w:r>
          </w:p>
        </w:tc>
        <w:tc>
          <w:tcPr>
            <w:tcW w:w="3922" w:type="dxa"/>
            <w:gridSpan w:val="6"/>
            <w:tcBorders>
              <w:top w:val="nil"/>
              <w:left w:val="nil"/>
              <w:bottom w:val="single" w:color="auto" w:sz="4" w:space="0"/>
              <w:right w:val="single" w:color="auto" w:sz="4" w:space="0"/>
            </w:tcBorders>
            <w:shd w:val="clear" w:color="auto" w:fill="auto"/>
            <w:vAlign w:val="center"/>
          </w:tcPr>
          <w:p w14:paraId="64C3611E">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目标1、2021年特克斯县总工会将维护和发展职工劳动经济权益，具体包括：推进职业教育、企业民族管理、集体协商等立法修法工作，参与制定就业优先政策，推动建立互联网平台用工等新就业形态基本劳动标准。 2、依法履行民主程序，做好职工转岗安置和就业培训。 3、推动最低工资标准正常调整，解决职工漏保、断保问题。4、开展各种劳动竞赛等群众性安全生产和职业病防治活动。维护女职工合法权益和特殊利益。5、加强困难职工的矿帮扶面积和帮扶资金的有效落实及送温暖送清凉工作的稳步开展，促进社会稳步健康有序进行。</w:t>
            </w:r>
          </w:p>
        </w:tc>
      </w:tr>
      <w:tr w14:paraId="78ED2C25">
        <w:tblPrEx>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14:paraId="020BFA1D">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14" w:type="dxa"/>
            <w:tcBorders>
              <w:top w:val="single" w:color="auto" w:sz="4" w:space="0"/>
              <w:left w:val="nil"/>
              <w:bottom w:val="single" w:color="auto" w:sz="4" w:space="0"/>
              <w:right w:val="single" w:color="000000" w:sz="4" w:space="0"/>
            </w:tcBorders>
            <w:shd w:val="clear" w:color="auto" w:fill="auto"/>
            <w:vAlign w:val="center"/>
          </w:tcPr>
          <w:p w14:paraId="6918E978">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661" w:type="dxa"/>
            <w:tcBorders>
              <w:top w:val="nil"/>
              <w:left w:val="nil"/>
              <w:bottom w:val="single" w:color="auto" w:sz="4" w:space="0"/>
              <w:right w:val="nil"/>
            </w:tcBorders>
            <w:shd w:val="clear" w:color="auto" w:fill="auto"/>
            <w:vAlign w:val="center"/>
          </w:tcPr>
          <w:p w14:paraId="729285E0">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2353" w:type="dxa"/>
            <w:gridSpan w:val="3"/>
            <w:tcBorders>
              <w:top w:val="nil"/>
              <w:left w:val="single" w:color="auto" w:sz="4" w:space="0"/>
              <w:bottom w:val="single" w:color="auto" w:sz="4" w:space="0"/>
              <w:right w:val="single" w:color="auto" w:sz="4" w:space="0"/>
            </w:tcBorders>
            <w:shd w:val="clear" w:color="auto" w:fill="auto"/>
            <w:vAlign w:val="center"/>
          </w:tcPr>
          <w:p w14:paraId="5B816DA9">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176" w:type="dxa"/>
            <w:gridSpan w:val="2"/>
            <w:tcBorders>
              <w:top w:val="nil"/>
              <w:left w:val="nil"/>
              <w:bottom w:val="single" w:color="auto" w:sz="4" w:space="0"/>
              <w:right w:val="single" w:color="auto" w:sz="4" w:space="0"/>
            </w:tcBorders>
            <w:shd w:val="clear" w:color="auto" w:fill="auto"/>
            <w:vAlign w:val="center"/>
          </w:tcPr>
          <w:p w14:paraId="2F59EC7E">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177" w:type="dxa"/>
            <w:gridSpan w:val="2"/>
            <w:tcBorders>
              <w:top w:val="nil"/>
              <w:left w:val="nil"/>
              <w:bottom w:val="single" w:color="auto" w:sz="4" w:space="0"/>
              <w:right w:val="single" w:color="auto" w:sz="4" w:space="0"/>
            </w:tcBorders>
            <w:shd w:val="clear" w:color="auto" w:fill="auto"/>
            <w:vAlign w:val="center"/>
          </w:tcPr>
          <w:p w14:paraId="525158E9">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14:paraId="0477612A">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13DB28CD">
            <w:pPr>
              <w:jc w:val="center"/>
              <w:rPr>
                <w:rFonts w:ascii="宋体" w:hAnsi="宋体" w:eastAsia="宋体" w:cs="宋体"/>
                <w:kern w:val="0"/>
                <w:sz w:val="24"/>
              </w:rPr>
            </w:pPr>
          </w:p>
        </w:tc>
        <w:tc>
          <w:tcPr>
            <w:tcW w:w="1114" w:type="dxa"/>
            <w:vMerge w:val="restart"/>
            <w:tcBorders>
              <w:top w:val="single" w:color="auto" w:sz="4" w:space="0"/>
              <w:left w:val="nil"/>
              <w:bottom w:val="single" w:color="auto" w:sz="4" w:space="0"/>
              <w:right w:val="nil"/>
            </w:tcBorders>
            <w:shd w:val="clear" w:color="auto" w:fill="auto"/>
            <w:vAlign w:val="center"/>
          </w:tcPr>
          <w:p w14:paraId="127146E8">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1661" w:type="dxa"/>
            <w:vMerge w:val="restart"/>
            <w:tcBorders>
              <w:top w:val="nil"/>
              <w:left w:val="nil"/>
              <w:bottom w:val="single" w:color="auto" w:sz="4" w:space="0"/>
              <w:right w:val="single" w:color="auto" w:sz="4" w:space="0"/>
            </w:tcBorders>
            <w:shd w:val="clear" w:color="auto" w:fill="auto"/>
            <w:vAlign w:val="center"/>
          </w:tcPr>
          <w:p w14:paraId="40A851EA">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353" w:type="dxa"/>
            <w:gridSpan w:val="3"/>
            <w:tcBorders>
              <w:top w:val="nil"/>
              <w:left w:val="nil"/>
              <w:bottom w:val="single" w:color="auto" w:sz="4" w:space="0"/>
              <w:right w:val="single" w:color="auto" w:sz="4" w:space="0"/>
            </w:tcBorders>
            <w:shd w:val="clear" w:color="auto" w:fill="auto"/>
            <w:vAlign w:val="center"/>
          </w:tcPr>
          <w:p w14:paraId="64CA8AB5">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保障在职人员人数</w:t>
            </w:r>
          </w:p>
        </w:tc>
        <w:tc>
          <w:tcPr>
            <w:tcW w:w="1176" w:type="dxa"/>
            <w:gridSpan w:val="2"/>
            <w:tcBorders>
              <w:top w:val="nil"/>
              <w:left w:val="nil"/>
              <w:bottom w:val="single" w:color="auto" w:sz="4" w:space="0"/>
              <w:right w:val="single" w:color="auto" w:sz="4" w:space="0"/>
            </w:tcBorders>
            <w:shd w:val="clear" w:color="auto" w:fill="auto"/>
            <w:vAlign w:val="center"/>
          </w:tcPr>
          <w:p w14:paraId="1E41B788">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≥8人</w:t>
            </w:r>
          </w:p>
        </w:tc>
        <w:tc>
          <w:tcPr>
            <w:tcW w:w="1177" w:type="dxa"/>
            <w:gridSpan w:val="2"/>
            <w:tcBorders>
              <w:top w:val="nil"/>
              <w:left w:val="nil"/>
              <w:bottom w:val="single" w:color="auto" w:sz="4" w:space="0"/>
              <w:right w:val="single" w:color="auto" w:sz="4" w:space="0"/>
            </w:tcBorders>
            <w:shd w:val="clear" w:color="auto" w:fill="auto"/>
            <w:noWrap/>
            <w:vAlign w:val="center"/>
          </w:tcPr>
          <w:p w14:paraId="6C08BD69">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8人</w:t>
            </w:r>
          </w:p>
        </w:tc>
      </w:tr>
      <w:tr w14:paraId="15DDF8A0">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14:paraId="092BF0CE">
            <w:pPr>
              <w:jc w:val="center"/>
              <w:rPr>
                <w:rFonts w:ascii="宋体" w:hAnsi="宋体" w:eastAsia="宋体" w:cs="宋体"/>
                <w:kern w:val="0"/>
                <w:sz w:val="24"/>
              </w:rPr>
            </w:pPr>
          </w:p>
        </w:tc>
        <w:tc>
          <w:tcPr>
            <w:tcW w:w="1114" w:type="dxa"/>
            <w:vMerge w:val="continue"/>
            <w:tcBorders>
              <w:top w:val="single" w:color="auto" w:sz="4" w:space="0"/>
              <w:left w:val="nil"/>
              <w:bottom w:val="single" w:color="auto" w:sz="4" w:space="0"/>
              <w:right w:val="nil"/>
            </w:tcBorders>
            <w:shd w:val="clear" w:color="auto" w:fill="auto"/>
            <w:vAlign w:val="center"/>
          </w:tcPr>
          <w:p w14:paraId="20AA674A">
            <w:pPr>
              <w:jc w:val="center"/>
              <w:rPr>
                <w:rFonts w:ascii="宋体" w:hAnsi="宋体" w:eastAsia="宋体" w:cs="宋体"/>
                <w:kern w:val="0"/>
                <w:sz w:val="24"/>
              </w:rPr>
            </w:pPr>
          </w:p>
        </w:tc>
        <w:tc>
          <w:tcPr>
            <w:tcW w:w="1661" w:type="dxa"/>
            <w:vMerge w:val="continue"/>
            <w:tcBorders>
              <w:top w:val="single" w:color="auto" w:sz="4" w:space="0"/>
              <w:left w:val="nil"/>
              <w:bottom w:val="single" w:color="auto" w:sz="4" w:space="0"/>
              <w:right w:val="nil"/>
            </w:tcBorders>
            <w:shd w:val="clear" w:color="auto" w:fill="auto"/>
            <w:vAlign w:val="center"/>
          </w:tcPr>
          <w:p w14:paraId="77D1263E">
            <w:pPr>
              <w:jc w:val="cente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CEDB8BE">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工会知识培训</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497222B">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≥3次</w:t>
            </w:r>
          </w:p>
        </w:tc>
        <w:tc>
          <w:tcPr>
            <w:tcW w:w="11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38A7D84">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3次</w:t>
            </w:r>
          </w:p>
        </w:tc>
      </w:tr>
      <w:tr w14:paraId="1EA0D0E6">
        <w:tblPrEx>
          <w:tblCellMar>
            <w:top w:w="0" w:type="dxa"/>
            <w:left w:w="108" w:type="dxa"/>
            <w:bottom w:w="0" w:type="dxa"/>
            <w:right w:w="108" w:type="dxa"/>
          </w:tblCellMar>
        </w:tblPrEx>
        <w:trPr>
          <w:trHeight w:val="2070"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14:paraId="4A9579BD">
            <w:pPr>
              <w:jc w:val="center"/>
              <w:rPr>
                <w:rFonts w:ascii="宋体" w:hAnsi="宋体" w:eastAsia="宋体" w:cs="宋体"/>
                <w:kern w:val="0"/>
                <w:sz w:val="24"/>
              </w:rPr>
            </w:pPr>
          </w:p>
        </w:tc>
        <w:tc>
          <w:tcPr>
            <w:tcW w:w="1114" w:type="dxa"/>
            <w:vMerge w:val="continue"/>
            <w:tcBorders>
              <w:top w:val="single" w:color="auto" w:sz="4" w:space="0"/>
              <w:left w:val="nil"/>
              <w:bottom w:val="single" w:color="auto" w:sz="4" w:space="0"/>
              <w:right w:val="single" w:color="auto" w:sz="4" w:space="0"/>
            </w:tcBorders>
            <w:shd w:val="clear" w:color="auto" w:fill="auto"/>
            <w:vAlign w:val="center"/>
          </w:tcPr>
          <w:p w14:paraId="485C566A">
            <w:pPr>
              <w:jc w:val="center"/>
              <w:rPr>
                <w:rFonts w:ascii="宋体" w:hAnsi="宋体" w:eastAsia="宋体" w:cs="宋体"/>
                <w:kern w:val="0"/>
                <w:sz w:val="24"/>
              </w:rPr>
            </w:pPr>
          </w:p>
        </w:tc>
        <w:tc>
          <w:tcPr>
            <w:tcW w:w="1661" w:type="dxa"/>
            <w:vMerge w:val="continue"/>
            <w:tcBorders>
              <w:top w:val="single" w:color="auto" w:sz="4" w:space="0"/>
              <w:left w:val="nil"/>
              <w:bottom w:val="single" w:color="auto" w:sz="4" w:space="0"/>
              <w:right w:val="single" w:color="auto" w:sz="4" w:space="0"/>
            </w:tcBorders>
            <w:shd w:val="clear" w:color="auto" w:fill="auto"/>
            <w:vAlign w:val="center"/>
          </w:tcPr>
          <w:p w14:paraId="1279F965">
            <w:pPr>
              <w:jc w:val="center"/>
            </w:pPr>
          </w:p>
        </w:tc>
        <w:tc>
          <w:tcPr>
            <w:tcW w:w="2353" w:type="dxa"/>
            <w:gridSpan w:val="3"/>
            <w:tcBorders>
              <w:top w:val="single" w:color="auto" w:sz="4" w:space="0"/>
              <w:left w:val="nil"/>
              <w:bottom w:val="single" w:color="auto" w:sz="4" w:space="0"/>
              <w:right w:val="single" w:color="000000" w:sz="4" w:space="0"/>
            </w:tcBorders>
            <w:shd w:val="clear" w:color="auto" w:fill="auto"/>
            <w:vAlign w:val="center"/>
          </w:tcPr>
          <w:p w14:paraId="7C9F2141">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走访慰问困难职工</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14:paraId="27DF4DAE">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≥30次</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14:paraId="1FAC83C4">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30次</w:t>
            </w:r>
          </w:p>
        </w:tc>
      </w:tr>
      <w:tr w14:paraId="74764AB3">
        <w:tblPrEx>
          <w:tblCellMar>
            <w:top w:w="0" w:type="dxa"/>
            <w:left w:w="108" w:type="dxa"/>
            <w:bottom w:w="0" w:type="dxa"/>
            <w:right w:w="108" w:type="dxa"/>
          </w:tblCellMar>
        </w:tblPrEx>
        <w:trPr>
          <w:trHeight w:val="8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14:paraId="4A76F5DC">
            <w:pPr>
              <w:jc w:val="center"/>
              <w:rPr>
                <w:rFonts w:ascii="宋体" w:hAnsi="宋体" w:eastAsia="宋体" w:cs="宋体"/>
                <w:kern w:val="0"/>
                <w:sz w:val="24"/>
              </w:rPr>
            </w:pPr>
          </w:p>
        </w:tc>
        <w:tc>
          <w:tcPr>
            <w:tcW w:w="1114" w:type="dxa"/>
            <w:vMerge w:val="continue"/>
            <w:tcBorders>
              <w:top w:val="nil"/>
              <w:left w:val="nil"/>
              <w:bottom w:val="single" w:color="auto" w:sz="4" w:space="0"/>
              <w:right w:val="single" w:color="auto" w:sz="4" w:space="0"/>
            </w:tcBorders>
            <w:shd w:val="clear" w:color="auto" w:fill="auto"/>
            <w:vAlign w:val="center"/>
          </w:tcPr>
          <w:p w14:paraId="12D4F746">
            <w:pPr>
              <w:jc w:val="center"/>
              <w:rPr>
                <w:rFonts w:ascii="宋体" w:hAnsi="宋体" w:eastAsia="宋体" w:cs="宋体"/>
                <w:kern w:val="0"/>
                <w:sz w:val="24"/>
              </w:rPr>
            </w:pPr>
          </w:p>
        </w:tc>
        <w:tc>
          <w:tcPr>
            <w:tcW w:w="1661" w:type="dxa"/>
            <w:vMerge w:val="restart"/>
            <w:tcBorders>
              <w:top w:val="single" w:color="auto" w:sz="4" w:space="0"/>
              <w:left w:val="nil"/>
              <w:bottom w:val="single" w:color="auto" w:sz="4" w:space="0"/>
              <w:right w:val="single" w:color="000000" w:sz="4" w:space="0"/>
            </w:tcBorders>
            <w:shd w:val="clear" w:color="auto" w:fill="auto"/>
            <w:vAlign w:val="center"/>
          </w:tcPr>
          <w:p w14:paraId="53FB445C">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14:paraId="234147E6">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困难职工走访帮扶覆盖率</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14:paraId="4D004FBB">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≥98%</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14:paraId="4813355E">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98%</w:t>
            </w:r>
          </w:p>
        </w:tc>
      </w:tr>
      <w:tr w14:paraId="44AD228F">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59031DA7">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shd w:val="clear" w:color="auto" w:fill="auto"/>
            <w:vAlign w:val="center"/>
          </w:tcPr>
          <w:p w14:paraId="700D5D7A">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1DE2641A">
            <w:pPr>
              <w:jc w:val="center"/>
              <w:rPr>
                <w:rFonts w:ascii="宋体" w:hAnsi="宋体" w:eastAsia="宋体" w:cs="宋体"/>
                <w:kern w:val="0"/>
                <w:sz w:val="24"/>
              </w:rPr>
            </w:pPr>
          </w:p>
        </w:tc>
        <w:tc>
          <w:tcPr>
            <w:tcW w:w="2353" w:type="dxa"/>
            <w:gridSpan w:val="3"/>
            <w:tcBorders>
              <w:top w:val="single" w:color="auto" w:sz="4" w:space="0"/>
              <w:left w:val="nil"/>
              <w:bottom w:val="single" w:color="auto" w:sz="4" w:space="0"/>
              <w:right w:val="nil"/>
            </w:tcBorders>
            <w:shd w:val="clear" w:color="auto" w:fill="auto"/>
            <w:vAlign w:val="center"/>
          </w:tcPr>
          <w:p w14:paraId="3E2D2B9D">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工资及公用经费保障率</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0142F10">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14:paraId="5DABA215">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14:paraId="1B384973">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2E02541E">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14:paraId="061AF212">
            <w:pPr>
              <w:jc w:val="center"/>
              <w:rPr>
                <w:rFonts w:ascii="宋体" w:hAnsi="宋体" w:eastAsia="宋体" w:cs="宋体"/>
                <w:kern w:val="0"/>
                <w:sz w:val="24"/>
              </w:rPr>
            </w:pPr>
          </w:p>
        </w:tc>
        <w:tc>
          <w:tcPr>
            <w:tcW w:w="1661" w:type="dxa"/>
            <w:tcBorders>
              <w:top w:val="single" w:color="auto" w:sz="4" w:space="0"/>
              <w:left w:val="single" w:color="auto" w:sz="4" w:space="0"/>
              <w:bottom w:val="single" w:color="000000" w:sz="4" w:space="0"/>
              <w:right w:val="single" w:color="000000" w:sz="4" w:space="0"/>
            </w:tcBorders>
            <w:vAlign w:val="center"/>
          </w:tcPr>
          <w:p w14:paraId="18BD28AB">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353" w:type="dxa"/>
            <w:gridSpan w:val="3"/>
            <w:tcBorders>
              <w:top w:val="single" w:color="auto" w:sz="4" w:space="0"/>
              <w:left w:val="nil"/>
              <w:bottom w:val="single" w:color="auto" w:sz="4" w:space="0"/>
              <w:right w:val="nil"/>
            </w:tcBorders>
            <w:shd w:val="clear" w:color="auto" w:fill="auto"/>
            <w:vAlign w:val="center"/>
          </w:tcPr>
          <w:p w14:paraId="2F7C2FA5">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资金发放及时性</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5A058A6">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14:paraId="64938408">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14:paraId="601764AF">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765C8B7C">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14:paraId="44BE3FDC">
            <w:pPr>
              <w:jc w:val="center"/>
              <w:rPr>
                <w:rFonts w:ascii="宋体" w:hAnsi="宋体" w:eastAsia="宋体" w:cs="宋体"/>
                <w:kern w:val="0"/>
                <w:sz w:val="24"/>
              </w:rPr>
            </w:pP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14:paraId="3B9F5866">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353" w:type="dxa"/>
            <w:gridSpan w:val="3"/>
            <w:tcBorders>
              <w:top w:val="single" w:color="auto" w:sz="4" w:space="0"/>
              <w:left w:val="nil"/>
              <w:bottom w:val="single" w:color="auto" w:sz="4" w:space="0"/>
              <w:right w:val="nil"/>
            </w:tcBorders>
            <w:shd w:val="clear" w:color="auto" w:fill="auto"/>
            <w:vAlign w:val="center"/>
          </w:tcPr>
          <w:p w14:paraId="5D3DEEB2">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保障人员人均支出标准</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E12329D">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≤10.98万元</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14:paraId="279A3A9F">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10.98万元</w:t>
            </w:r>
          </w:p>
        </w:tc>
      </w:tr>
      <w:tr w14:paraId="7B7D0F1A">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32C47867">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14:paraId="05FA29F4">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446EE23">
            <w:pPr>
              <w:jc w:val="center"/>
              <w:rPr>
                <w:rFonts w:ascii="宋体" w:hAnsi="宋体" w:eastAsia="宋体" w:cs="宋体"/>
                <w:kern w:val="0"/>
                <w:sz w:val="24"/>
              </w:rPr>
            </w:pPr>
          </w:p>
        </w:tc>
        <w:tc>
          <w:tcPr>
            <w:tcW w:w="2353" w:type="dxa"/>
            <w:gridSpan w:val="3"/>
            <w:tcBorders>
              <w:top w:val="single" w:color="auto" w:sz="4" w:space="0"/>
              <w:left w:val="nil"/>
              <w:bottom w:val="single" w:color="auto" w:sz="4" w:space="0"/>
              <w:right w:val="nil"/>
            </w:tcBorders>
            <w:shd w:val="clear" w:color="auto" w:fill="auto"/>
            <w:vAlign w:val="center"/>
          </w:tcPr>
          <w:p w14:paraId="56C89C60">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人均运转经费</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E442419">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≤0.4万元</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14:paraId="7E45DBDD">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0.4万元</w:t>
            </w:r>
          </w:p>
        </w:tc>
      </w:tr>
      <w:tr w14:paraId="093CC6A7">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38CAF84C">
            <w:pPr>
              <w:jc w:val="center"/>
              <w:rPr>
                <w:rFonts w:ascii="宋体" w:hAnsi="宋体" w:eastAsia="宋体" w:cs="宋体"/>
                <w:kern w:val="0"/>
                <w:sz w:val="24"/>
              </w:rPr>
            </w:pPr>
          </w:p>
        </w:tc>
        <w:tc>
          <w:tcPr>
            <w:tcW w:w="1114" w:type="dxa"/>
            <w:vMerge w:val="restart"/>
            <w:tcBorders>
              <w:top w:val="nil"/>
              <w:left w:val="single" w:color="auto" w:sz="4" w:space="0"/>
              <w:bottom w:val="single" w:color="auto" w:sz="4" w:space="0"/>
              <w:right w:val="single" w:color="auto" w:sz="4" w:space="0"/>
            </w:tcBorders>
            <w:vAlign w:val="center"/>
          </w:tcPr>
          <w:p w14:paraId="4C8CBD12">
            <w:pPr>
              <w:jc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661" w:type="dxa"/>
            <w:tcBorders>
              <w:top w:val="single" w:color="auto" w:sz="4" w:space="0"/>
              <w:left w:val="single" w:color="auto" w:sz="4" w:space="0"/>
              <w:bottom w:val="single" w:color="000000" w:sz="4" w:space="0"/>
              <w:right w:val="single" w:color="000000" w:sz="4" w:space="0"/>
            </w:tcBorders>
            <w:vAlign w:val="center"/>
          </w:tcPr>
          <w:p w14:paraId="72FDAD9F">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353" w:type="dxa"/>
            <w:gridSpan w:val="3"/>
            <w:tcBorders>
              <w:top w:val="single" w:color="auto" w:sz="4" w:space="0"/>
              <w:left w:val="nil"/>
              <w:bottom w:val="single" w:color="auto" w:sz="4" w:space="0"/>
              <w:right w:val="nil"/>
            </w:tcBorders>
            <w:shd w:val="clear" w:color="auto" w:fill="auto"/>
            <w:vAlign w:val="center"/>
          </w:tcPr>
          <w:p w14:paraId="791100CF">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推动工会工作有序、顺利开展</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0A635BD">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有效推动</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14:paraId="61B6504F">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有效推动</w:t>
            </w:r>
          </w:p>
        </w:tc>
      </w:tr>
      <w:tr w14:paraId="4919DF6F">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7EDCE198">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14:paraId="4B3088A4">
            <w:pPr>
              <w:jc w:val="center"/>
              <w:rPr>
                <w:rFonts w:ascii="宋体" w:hAnsi="宋体" w:eastAsia="宋体" w:cs="宋体"/>
                <w:kern w:val="0"/>
                <w:sz w:val="24"/>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14:paraId="216EE6AD">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生态效益指标</w:t>
            </w:r>
          </w:p>
        </w:tc>
        <w:tc>
          <w:tcPr>
            <w:tcW w:w="2353" w:type="dxa"/>
            <w:gridSpan w:val="3"/>
            <w:tcBorders>
              <w:top w:val="single" w:color="auto" w:sz="4" w:space="0"/>
              <w:left w:val="nil"/>
              <w:bottom w:val="single" w:color="auto" w:sz="4" w:space="0"/>
              <w:right w:val="nil"/>
            </w:tcBorders>
            <w:shd w:val="clear" w:color="auto" w:fill="auto"/>
            <w:vAlign w:val="center"/>
          </w:tcPr>
          <w:p w14:paraId="400A4F49">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指标1：坚持绿色发展理念</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5DA5670">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落实到位</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14:paraId="720D427D">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落实到位</w:t>
            </w:r>
          </w:p>
        </w:tc>
      </w:tr>
      <w:tr w14:paraId="3C99716D">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1CAC2C22">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14:paraId="3947A2C6">
            <w:pPr>
              <w:jc w:val="center"/>
              <w:rPr>
                <w:rFonts w:ascii="宋体" w:hAnsi="宋体" w:eastAsia="宋体" w:cs="宋体"/>
                <w:kern w:val="0"/>
                <w:sz w:val="24"/>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14:paraId="11B376DA">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可持续影响指标</w:t>
            </w:r>
          </w:p>
        </w:tc>
        <w:tc>
          <w:tcPr>
            <w:tcW w:w="2353" w:type="dxa"/>
            <w:gridSpan w:val="3"/>
            <w:tcBorders>
              <w:top w:val="single" w:color="auto" w:sz="4" w:space="0"/>
              <w:left w:val="nil"/>
              <w:bottom w:val="single" w:color="auto" w:sz="4" w:space="0"/>
              <w:right w:val="nil"/>
            </w:tcBorders>
            <w:shd w:val="clear" w:color="auto" w:fill="auto"/>
            <w:vAlign w:val="center"/>
          </w:tcPr>
          <w:p w14:paraId="21F52C59">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促进相关政策落地落实</w:t>
            </w:r>
          </w:p>
        </w:tc>
        <w:tc>
          <w:tcPr>
            <w:tcW w:w="1176" w:type="dxa"/>
            <w:gridSpan w:val="2"/>
            <w:tcBorders>
              <w:top w:val="nil"/>
              <w:left w:val="single" w:color="auto" w:sz="4" w:space="0"/>
              <w:bottom w:val="single" w:color="auto" w:sz="4" w:space="0"/>
              <w:right w:val="single" w:color="auto" w:sz="4" w:space="0"/>
            </w:tcBorders>
            <w:shd w:val="clear" w:color="auto" w:fill="auto"/>
            <w:vAlign w:val="center"/>
          </w:tcPr>
          <w:p w14:paraId="0DCC6994">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长期</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14:paraId="1E75FC54">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长期</w:t>
            </w:r>
          </w:p>
        </w:tc>
      </w:tr>
      <w:tr w14:paraId="5327E23A">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30376CB9">
            <w:pPr>
              <w:jc w:val="center"/>
              <w:rPr>
                <w:rFonts w:ascii="宋体" w:hAnsi="宋体" w:eastAsia="宋体" w:cs="宋体"/>
                <w:kern w:val="0"/>
                <w:sz w:val="24"/>
              </w:rPr>
            </w:pPr>
          </w:p>
        </w:tc>
        <w:tc>
          <w:tcPr>
            <w:tcW w:w="1114" w:type="dxa"/>
            <w:vMerge w:val="restart"/>
            <w:tcBorders>
              <w:top w:val="nil"/>
              <w:left w:val="single" w:color="auto" w:sz="4" w:space="0"/>
              <w:bottom w:val="single" w:color="auto" w:sz="4" w:space="0"/>
              <w:right w:val="single" w:color="auto" w:sz="4" w:space="0"/>
            </w:tcBorders>
            <w:vAlign w:val="center"/>
          </w:tcPr>
          <w:p w14:paraId="159A1555">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14:paraId="6727A38A">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353" w:type="dxa"/>
            <w:gridSpan w:val="3"/>
            <w:tcBorders>
              <w:top w:val="single" w:color="auto" w:sz="4" w:space="0"/>
              <w:left w:val="nil"/>
              <w:bottom w:val="single" w:color="auto" w:sz="4" w:space="0"/>
              <w:right w:val="nil"/>
            </w:tcBorders>
            <w:shd w:val="clear" w:color="auto" w:fill="auto"/>
            <w:vAlign w:val="center"/>
          </w:tcPr>
          <w:p w14:paraId="4BA6C8AA">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上级、政府部门满意度</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A0BACFD">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≥98%</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14:paraId="7B4A9671">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98%</w:t>
            </w:r>
          </w:p>
        </w:tc>
      </w:tr>
      <w:tr w14:paraId="31791C98">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385C0AC0">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14:paraId="06595139">
            <w:pPr>
              <w:jc w:val="center"/>
              <w:rPr>
                <w:rFonts w:ascii="宋体" w:hAnsi="宋体" w:eastAsia="宋体" w:cs="宋体"/>
                <w:kern w:val="0"/>
                <w:sz w:val="24"/>
              </w:rPr>
            </w:pPr>
          </w:p>
        </w:tc>
        <w:tc>
          <w:tcPr>
            <w:tcW w:w="1661" w:type="dxa"/>
            <w:vMerge w:val="continue"/>
            <w:tcBorders>
              <w:top w:val="single" w:color="auto" w:sz="4" w:space="0"/>
              <w:left w:val="nil"/>
              <w:bottom w:val="single" w:color="auto" w:sz="4" w:space="0"/>
              <w:right w:val="single" w:color="000000" w:sz="4" w:space="0"/>
            </w:tcBorders>
            <w:shd w:val="clear" w:color="auto" w:fill="auto"/>
            <w:vAlign w:val="center"/>
          </w:tcPr>
          <w:p w14:paraId="21A51CCE">
            <w:pPr>
              <w:jc w:val="center"/>
              <w:rPr>
                <w:rFonts w:ascii="宋体" w:hAnsi="宋体" w:eastAsia="宋体" w:cs="宋体"/>
                <w:kern w:val="0"/>
                <w:sz w:val="24"/>
              </w:rPr>
            </w:pPr>
          </w:p>
        </w:tc>
        <w:tc>
          <w:tcPr>
            <w:tcW w:w="2353" w:type="dxa"/>
            <w:gridSpan w:val="3"/>
            <w:tcBorders>
              <w:top w:val="single" w:color="auto" w:sz="4" w:space="0"/>
              <w:left w:val="nil"/>
              <w:bottom w:val="single" w:color="auto" w:sz="4" w:space="0"/>
              <w:right w:val="nil"/>
            </w:tcBorders>
            <w:shd w:val="clear" w:color="auto" w:fill="auto"/>
            <w:vAlign w:val="center"/>
          </w:tcPr>
          <w:p w14:paraId="3B1C0CEE">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困难职工满意度</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385D693">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≥98%</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14:paraId="40D99793">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98%</w:t>
            </w:r>
          </w:p>
        </w:tc>
      </w:tr>
      <w:tr w14:paraId="4353F59A">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14:paraId="72926F77">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shd w:val="clear" w:color="auto" w:fill="auto"/>
            <w:vAlign w:val="center"/>
          </w:tcPr>
          <w:p w14:paraId="5E901A95">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701D14EC">
            <w:pPr>
              <w:jc w:val="center"/>
              <w:rPr>
                <w:rFonts w:ascii="宋体" w:hAnsi="宋体" w:eastAsia="宋体" w:cs="宋体"/>
                <w:kern w:val="0"/>
                <w:sz w:val="24"/>
              </w:rPr>
            </w:pPr>
          </w:p>
        </w:tc>
        <w:tc>
          <w:tcPr>
            <w:tcW w:w="2353" w:type="dxa"/>
            <w:gridSpan w:val="3"/>
            <w:tcBorders>
              <w:top w:val="single" w:color="auto" w:sz="4" w:space="0"/>
              <w:left w:val="nil"/>
              <w:bottom w:val="single" w:color="auto" w:sz="4" w:space="0"/>
              <w:right w:val="nil"/>
            </w:tcBorders>
            <w:shd w:val="clear" w:color="auto" w:fill="auto"/>
            <w:vAlign w:val="center"/>
          </w:tcPr>
          <w:p w14:paraId="3CFB5C2E">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全县在职职工满意度</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AE7D7E0">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≥98%</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14:paraId="4EB5E971">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98%</w:t>
            </w:r>
          </w:p>
        </w:tc>
      </w:tr>
    </w:tbl>
    <w:p w14:paraId="687D56C7">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14:paraId="34623919">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14:paraId="430FAB4C">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55AC3"/>
    <w:multiLevelType w:val="singleLevel"/>
    <w:tmpl w:val="00555AC3"/>
    <w:lvl w:ilvl="0" w:tentative="0">
      <w:start w:val="3"/>
      <w:numFmt w:val="decimal"/>
      <w:suff w:val="nothing"/>
      <w:lvlText w:val="%1、"/>
      <w:lvlJc w:val="left"/>
    </w:lvl>
  </w:abstractNum>
  <w:abstractNum w:abstractNumId="1">
    <w:nsid w:val="4011EC24"/>
    <w:multiLevelType w:val="singleLevel"/>
    <w:tmpl w:val="4011EC24"/>
    <w:lvl w:ilvl="0" w:tentative="0">
      <w:start w:val="1"/>
      <w:numFmt w:val="decimal"/>
      <w:suff w:val="nothing"/>
      <w:lvlText w:val="（%1）"/>
      <w:lvlJc w:val="left"/>
      <w:pPr>
        <w:ind w:left="86"/>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U4Yjg1NzVmN2Y2MGM5ZTcxNmE0MDY0ZTdhMTk3NTg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2902E5F"/>
    <w:rsid w:val="02B36D86"/>
    <w:rsid w:val="033E7B6E"/>
    <w:rsid w:val="063D2343"/>
    <w:rsid w:val="071D5F0F"/>
    <w:rsid w:val="08445F14"/>
    <w:rsid w:val="09B356F9"/>
    <w:rsid w:val="0A1D1541"/>
    <w:rsid w:val="0BDD6597"/>
    <w:rsid w:val="0DAC5710"/>
    <w:rsid w:val="0DFB74CC"/>
    <w:rsid w:val="0E9A5E97"/>
    <w:rsid w:val="0FE907D8"/>
    <w:rsid w:val="10AC6FFF"/>
    <w:rsid w:val="156F256E"/>
    <w:rsid w:val="173A1306"/>
    <w:rsid w:val="19086ACC"/>
    <w:rsid w:val="1B683367"/>
    <w:rsid w:val="1D6148DE"/>
    <w:rsid w:val="1DC1223F"/>
    <w:rsid w:val="1EAA1F24"/>
    <w:rsid w:val="1EB60E4D"/>
    <w:rsid w:val="20785E19"/>
    <w:rsid w:val="21050A41"/>
    <w:rsid w:val="26070D61"/>
    <w:rsid w:val="276E73AA"/>
    <w:rsid w:val="2BE11A54"/>
    <w:rsid w:val="2C801669"/>
    <w:rsid w:val="31484B74"/>
    <w:rsid w:val="32A74F47"/>
    <w:rsid w:val="344B3368"/>
    <w:rsid w:val="352B73B2"/>
    <w:rsid w:val="36060B4C"/>
    <w:rsid w:val="361822C1"/>
    <w:rsid w:val="367F5EB3"/>
    <w:rsid w:val="37B32DE5"/>
    <w:rsid w:val="38A44CFE"/>
    <w:rsid w:val="39615CD3"/>
    <w:rsid w:val="3A14429E"/>
    <w:rsid w:val="3B7D20EE"/>
    <w:rsid w:val="3BE804F7"/>
    <w:rsid w:val="3CDF1492"/>
    <w:rsid w:val="3EF05C79"/>
    <w:rsid w:val="3FA91041"/>
    <w:rsid w:val="42AC4D09"/>
    <w:rsid w:val="43F3785B"/>
    <w:rsid w:val="45C00489"/>
    <w:rsid w:val="47071796"/>
    <w:rsid w:val="47777FDE"/>
    <w:rsid w:val="4A0156EE"/>
    <w:rsid w:val="4D3D127D"/>
    <w:rsid w:val="54B26CA1"/>
    <w:rsid w:val="564F03DF"/>
    <w:rsid w:val="56FE03F7"/>
    <w:rsid w:val="5BAC1D99"/>
    <w:rsid w:val="5DA0590E"/>
    <w:rsid w:val="6082450C"/>
    <w:rsid w:val="621276CF"/>
    <w:rsid w:val="65174D75"/>
    <w:rsid w:val="664C2CEA"/>
    <w:rsid w:val="66F35AF0"/>
    <w:rsid w:val="67B574C7"/>
    <w:rsid w:val="690E15F2"/>
    <w:rsid w:val="69413714"/>
    <w:rsid w:val="69A14197"/>
    <w:rsid w:val="6A2A2A35"/>
    <w:rsid w:val="704A2015"/>
    <w:rsid w:val="746371D8"/>
    <w:rsid w:val="75A718F1"/>
    <w:rsid w:val="7627680F"/>
    <w:rsid w:val="76D620C4"/>
    <w:rsid w:val="77CE5BD4"/>
    <w:rsid w:val="79110980"/>
    <w:rsid w:val="7DBD11F5"/>
    <w:rsid w:val="7DBE0E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151</Words>
  <Characters>158</Characters>
  <Lines>72</Lines>
  <Paragraphs>20</Paragraphs>
  <TotalTime>1</TotalTime>
  <ScaleCrop>false</ScaleCrop>
  <LinksUpToDate>false</LinksUpToDate>
  <CharactersWithSpaces>166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G-Eazy</cp:lastModifiedBy>
  <dcterms:modified xsi:type="dcterms:W3CDTF">2024-11-29T11:35:25Z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547FA78DA2DF44598C05255A35C2D582</vt:lpwstr>
  </property>
</Properties>
</file>